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5C" w:rsidRDefault="004B095C" w:rsidP="004B095C">
      <w:pPr>
        <w:pStyle w:val="a5"/>
        <w:spacing w:before="0" w:beforeAutospacing="0" w:after="0" w:afterAutospacing="0" w:line="375" w:lineRule="atLeast"/>
        <w:ind w:firstLine="480"/>
        <w:jc w:val="center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ascii="黑体" w:eastAsia="黑体" w:hAnsi="黑体" w:hint="eastAsia"/>
          <w:color w:val="42515A"/>
          <w:sz w:val="36"/>
          <w:szCs w:val="36"/>
        </w:rPr>
        <w:t>西安石油大学精品课程建设实施办法</w:t>
      </w:r>
    </w:p>
    <w:p w:rsidR="004B095C" w:rsidRDefault="004B095C" w:rsidP="004B095C">
      <w:pPr>
        <w:pStyle w:val="a5"/>
        <w:spacing w:before="120" w:beforeAutospacing="0" w:after="120" w:afterAutospacing="0" w:line="375" w:lineRule="atLeast"/>
        <w:ind w:firstLine="480"/>
        <w:jc w:val="center"/>
        <w:rPr>
          <w:rFonts w:ascii="Verdana" w:hAnsi="Verdana"/>
          <w:color w:val="42515A"/>
          <w:sz w:val="21"/>
          <w:szCs w:val="21"/>
        </w:rPr>
      </w:pPr>
      <w:r>
        <w:rPr>
          <w:rFonts w:hint="eastAsia"/>
          <w:color w:val="42515A"/>
          <w:sz w:val="21"/>
          <w:szCs w:val="21"/>
        </w:rPr>
        <w:t>（西石大教〔2005〕130号, 2005年11月10日）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05"/>
        <w:jc w:val="both"/>
        <w:rPr>
          <w:rFonts w:ascii="Verdana" w:hAnsi="Verdana"/>
          <w:color w:val="42515A"/>
          <w:sz w:val="21"/>
          <w:szCs w:val="21"/>
        </w:rPr>
      </w:pPr>
      <w:r>
        <w:rPr>
          <w:rFonts w:hint="eastAsia"/>
          <w:color w:val="42515A"/>
          <w:sz w:val="21"/>
          <w:szCs w:val="21"/>
        </w:rPr>
        <w:t>精品课程建设的实施是对某门课程的全面评价活动。评价项目和内容主要包括师资建设、授课水平、科研能力、教学条件、教改成果以及学生学习质量和教学效果等。为了进一步加强基础建设，深化改革，提高教学水平，全面提高教学质量，结合陕西省教育厅对精品课程的建设要求和我校的具体情况，制定本办法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第一条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精品课程建设在主管教学校长领导下，由教务处组织管理和监督，院（系）负责实施。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第二条</w:t>
      </w:r>
      <w:r>
        <w:rPr>
          <w:rFonts w:ascii="Times New Roman" w:eastAsia="仿宋_GB2312" w:hAnsi="Times New Roman" w:cs="Times New Roman"/>
          <w:color w:val="42515A"/>
          <w:sz w:val="21"/>
          <w:szCs w:val="21"/>
        </w:rPr>
        <w:t> </w:t>
      </w:r>
      <w:r>
        <w:rPr>
          <w:rStyle w:val="apple-converted-space"/>
          <w:rFonts w:ascii="Times New Roman" w:eastAsia="仿宋_GB2312" w:hAnsi="Times New Roman" w:cs="Times New Roman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精品课程建设将分期分批重点进行，对于受益面大而短期可达标的课程优先进行建设。精品课程建设的范围主要是基础课、技术基础课和专业主干课。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第三条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学校设立校级精品课程建设专项经费，保证精品课程建设正常运行。资助的期限为一年半至二年。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第四条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精品课程建设的资助是针对课程建设的某个环节或某些环节进行的，如教材建设、课件建设、试题库建设、教具模型建设、教学软件、实验项目建设和教学资料建设等。对于含有实验或单独开设实验的课程，资助经费中设备费用由学校另行按计划核拨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第五条</w:t>
      </w:r>
      <w:r>
        <w:rPr>
          <w:rFonts w:ascii="Times New Roman" w:eastAsia="仿宋_GB2312" w:hAnsi="Times New Roman" w:cs="Times New Roman"/>
          <w:color w:val="42515A"/>
          <w:sz w:val="21"/>
          <w:szCs w:val="21"/>
        </w:rPr>
        <w:t> </w:t>
      </w:r>
      <w:r>
        <w:rPr>
          <w:rStyle w:val="apple-converted-space"/>
          <w:rFonts w:ascii="Times New Roman" w:eastAsia="仿宋_GB2312" w:hAnsi="Times New Roman" w:cs="Times New Roman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由课程负责人填写《西安石油大学精品课程建设申报表》。根据课程现状，分析差距，提出重点建设的项目、内容、计划、措施、组织，预计完成的时间、申请资助的金额以及完成后的预期效果。申请表交所在院系初审，批准后报教务处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第六条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校教学督导专家组对申报材料进行审阅，必要时开展现场调查，并请课程负责人作课程建设情况介绍和答辩。在确认目标明确，措施落实，组织合理的情况下，决定资助的课程和金额。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第七条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课程建设的管理实行目标责任制，由教务处代表学校与课程所在院（系）签署相应建设任务书。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第八条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根据任务书和建设计划，由教务处组织专家进行阶段性检查，以了解课程建设的进度和存在的问题，并及时向学校领导和学校教学督导专家组汇报并协助解决。若所建课程未按计划规定的进度实施，学校将终止对该课程建设的资助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第九条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按计划完成建设的课程应首先按照评定标准进行自评，报请教务处验收。教务处组织教学督导专家组，根据任务书和建设计划进行验收。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第十条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对于验收合格的课程，经主管教学校长批准，授予精品课程荣誉称号，颁发荣誉证书。校级精品课程荣誉称号一般保持三年，三年后再重新评定。三年中若发生重大教学事故或教学质量大幅度下降，经主管教学校长批准，取消荣誉称号，并在两年内不得重新申请评选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第十一条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本办法由教务处负责解释。</w:t>
      </w:r>
    </w:p>
    <w:p w:rsidR="004B095C" w:rsidRDefault="004B095C" w:rsidP="004B095C">
      <w:pPr>
        <w:pStyle w:val="a5"/>
        <w:spacing w:before="0" w:beforeAutospacing="0" w:after="0" w:afterAutospacing="0" w:line="315" w:lineRule="atLeast"/>
        <w:ind w:firstLine="420"/>
        <w:jc w:val="both"/>
        <w:rPr>
          <w:rFonts w:ascii="Verdana" w:hAnsi="Verdana"/>
          <w:color w:val="42515A"/>
          <w:sz w:val="21"/>
          <w:szCs w:val="21"/>
        </w:rPr>
      </w:pPr>
      <w:r>
        <w:rPr>
          <w:rStyle w:val="a6"/>
          <w:rFonts w:hint="eastAsia"/>
          <w:color w:val="42515A"/>
          <w:sz w:val="21"/>
          <w:szCs w:val="21"/>
        </w:rPr>
        <w:t>第十二条</w:t>
      </w:r>
      <w:r>
        <w:rPr>
          <w:rStyle w:val="apple-converted-space"/>
          <w:rFonts w:ascii="仿宋_GB2312" w:eastAsia="仿宋_GB2312" w:hAnsi="Verdana"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本办法自发布之日起实施。</w:t>
      </w:r>
    </w:p>
    <w:p w:rsidR="00EF181C" w:rsidRPr="004B095C" w:rsidRDefault="00EF181C">
      <w:bookmarkStart w:id="0" w:name="_GoBack"/>
      <w:bookmarkEnd w:id="0"/>
    </w:p>
    <w:sectPr w:rsidR="00EF181C" w:rsidRPr="004B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1E" w:rsidRDefault="00817D1E" w:rsidP="004B095C">
      <w:r>
        <w:separator/>
      </w:r>
    </w:p>
  </w:endnote>
  <w:endnote w:type="continuationSeparator" w:id="0">
    <w:p w:rsidR="00817D1E" w:rsidRDefault="00817D1E" w:rsidP="004B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1E" w:rsidRDefault="00817D1E" w:rsidP="004B095C">
      <w:r>
        <w:separator/>
      </w:r>
    </w:p>
  </w:footnote>
  <w:footnote w:type="continuationSeparator" w:id="0">
    <w:p w:rsidR="00817D1E" w:rsidRDefault="00817D1E" w:rsidP="004B0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53"/>
    <w:rsid w:val="004B095C"/>
    <w:rsid w:val="00817D1E"/>
    <w:rsid w:val="00EF181C"/>
    <w:rsid w:val="00F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0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095C"/>
    <w:rPr>
      <w:b/>
      <w:bCs/>
    </w:rPr>
  </w:style>
  <w:style w:type="character" w:customStyle="1" w:styleId="apple-converted-space">
    <w:name w:val="apple-converted-space"/>
    <w:basedOn w:val="a0"/>
    <w:rsid w:val="004B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5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B0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B095C"/>
    <w:rPr>
      <w:b/>
      <w:bCs/>
    </w:rPr>
  </w:style>
  <w:style w:type="character" w:customStyle="1" w:styleId="apple-converted-space">
    <w:name w:val="apple-converted-space"/>
    <w:basedOn w:val="a0"/>
    <w:rsid w:val="004B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7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2017-09-12T08:41:00Z</dcterms:created>
  <dcterms:modified xsi:type="dcterms:W3CDTF">2017-09-12T08:41:00Z</dcterms:modified>
</cp:coreProperties>
</file>