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81CC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85" w:afterLines="100"/>
        <w:jc w:val="center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富Nb玄武岩的地球化学特征及其构造意义</w:t>
      </w:r>
    </w:p>
    <w:p w14:paraId="6F9EA9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93" w:afterLines="5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地质2102班：石佳华  指导教师：李海  论文类型：毕业</w:t>
      </w:r>
      <w:r>
        <w:rPr>
          <w:rFonts w:hint="eastAsia"/>
          <w:lang w:val="en-US" w:eastAsia="zh-CN"/>
        </w:rPr>
        <w:t>论文</w:t>
      </w:r>
    </w:p>
    <w:p w14:paraId="4EC6F0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/>
        </w:rPr>
      </w:pPr>
      <w:r>
        <w:rPr>
          <w:rFonts w:hint="eastAsia"/>
          <w:b/>
          <w:bCs/>
        </w:rPr>
        <w:t>摘要：</w:t>
      </w:r>
      <w:r>
        <w:rPr>
          <w:rFonts w:hint="eastAsia"/>
        </w:rPr>
        <w:t>本文以</w:t>
      </w:r>
      <w:r>
        <w:rPr>
          <w:rFonts w:hint="eastAsia"/>
          <w:lang w:val="en-US" w:eastAsia="zh-CN"/>
        </w:rPr>
        <w:t>新疆</w:t>
      </w:r>
      <w:r>
        <w:rPr>
          <w:rFonts w:hint="eastAsia"/>
        </w:rPr>
        <w:t>乌孙山地区富Nb玄武岩为研究对象，通过</w:t>
      </w:r>
      <w:r>
        <w:rPr>
          <w:rFonts w:hint="eastAsia"/>
          <w:lang w:val="en-US" w:eastAsia="zh-CN"/>
        </w:rPr>
        <w:t>系统的</w:t>
      </w:r>
      <w:r>
        <w:rPr>
          <w:rFonts w:hint="eastAsia"/>
        </w:rPr>
        <w:t>岩相学、主量元素、微量元素及Sr-Nd同位素分析，揭示</w:t>
      </w:r>
      <w:r>
        <w:rPr>
          <w:rFonts w:hint="eastAsia"/>
          <w:lang w:eastAsia="zh-CN"/>
        </w:rPr>
        <w:t>了</w:t>
      </w:r>
      <w:r>
        <w:rPr>
          <w:rFonts w:hint="eastAsia"/>
        </w:rPr>
        <w:t>其地球化学特征及构造意义。</w:t>
      </w:r>
      <w:r>
        <w:rPr>
          <w:rFonts w:hint="eastAsia"/>
          <w:lang w:val="en-US" w:eastAsia="zh-CN"/>
        </w:rPr>
        <w:t>结果显示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乌孙山富Nb</w:t>
      </w:r>
      <w:r>
        <w:rPr>
          <w:rFonts w:hint="eastAsia"/>
        </w:rPr>
        <w:t>玄武岩具低SiO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、高TiO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、富Na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O贫K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O</w:t>
      </w:r>
      <w:r>
        <w:rPr>
          <w:rFonts w:hint="eastAsia"/>
          <w:lang w:eastAsia="zh-CN"/>
        </w:rPr>
        <w:t>，</w:t>
      </w:r>
      <w:r>
        <w:rPr>
          <w:rFonts w:hint="eastAsia"/>
        </w:rPr>
        <w:t>富集Nb、Zr，稀土配分呈LREE富集型，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具</w:t>
      </w:r>
      <w:r>
        <w:rPr>
          <w:rFonts w:hint="eastAsia"/>
          <w:lang w:val="en-US" w:eastAsia="zh-CN"/>
        </w:rPr>
        <w:t>明显的</w:t>
      </w:r>
      <w:r>
        <w:rPr>
          <w:rFonts w:hint="eastAsia"/>
        </w:rPr>
        <w:t>“TNT”负异常</w:t>
      </w:r>
      <w:r>
        <w:rPr>
          <w:rFonts w:hint="eastAsia"/>
          <w:lang w:val="en-US" w:eastAsia="zh-CN"/>
        </w:rPr>
        <w:t>等主微量元素地球化学特征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研究表明，</w:t>
      </w:r>
      <w:r>
        <w:rPr>
          <w:rFonts w:hint="eastAsia"/>
        </w:rPr>
        <w:t>乌孙山富Nb玄武岩形成与地幔楔部分熔融有关，受结晶分异和轻微地壳混染影响，源区含石榴子石，构造环境属岛弧到板内过渡区，与南天山洋板块俯冲、回卷引发的弧后伸展相关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研究结果</w:t>
      </w:r>
      <w:r>
        <w:rPr>
          <w:rFonts w:hint="eastAsia"/>
        </w:rPr>
        <w:t>为中亚造山带西段构造演化研究提供</w:t>
      </w:r>
      <w:r>
        <w:rPr>
          <w:rFonts w:hint="eastAsia"/>
          <w:lang w:val="en-US" w:eastAsia="zh-CN"/>
        </w:rPr>
        <w:t>科学</w:t>
      </w:r>
      <w:r>
        <w:rPr>
          <w:rFonts w:hint="eastAsia"/>
        </w:rPr>
        <w:t>依据。</w:t>
      </w:r>
    </w:p>
    <w:p w14:paraId="4BA8D7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</w:rPr>
      </w:pPr>
    </w:p>
    <w:p w14:paraId="7A75F5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</w:rPr>
      </w:pPr>
      <w:r>
        <w:rPr>
          <w:rFonts w:hint="eastAsia"/>
          <w:b/>
          <w:bCs/>
        </w:rPr>
        <w:t>关键词：</w:t>
      </w:r>
      <w:r>
        <w:rPr>
          <w:rFonts w:hint="eastAsia"/>
        </w:rPr>
        <w:t>富Nb玄武岩；地球化学；源区特征；构造演化；乌孙山</w:t>
      </w:r>
    </w:p>
    <w:p w14:paraId="7C3C7F36">
      <w:pPr>
        <w:spacing w:before="156" w:beforeLines="50" w:after="156" w:afterLines="50" w:line="300" w:lineRule="auto"/>
        <w:ind w:left="0" w:leftChars="0" w:firstLine="0" w:firstLineChars="0"/>
        <w:jc w:val="left"/>
        <w:rPr>
          <w:rFonts w:hint="eastAsia" w:ascii="Times New Roman" w:hAnsi="Times New Roman" w:eastAsia="宋体"/>
          <w:b/>
          <w:bCs/>
          <w:sz w:val="28"/>
        </w:rPr>
      </w:pPr>
      <w:r>
        <w:rPr>
          <w:rFonts w:hint="eastAsia" w:ascii="Times New Roman" w:hAnsi="Times New Roman" w:eastAsia="宋体"/>
          <w:b/>
          <w:bCs/>
          <w:sz w:val="28"/>
        </w:rPr>
        <w:t>1</w:t>
      </w:r>
      <w:r>
        <w:rPr>
          <w:rFonts w:hint="eastAsia"/>
          <w:b/>
          <w:bCs/>
          <w:sz w:val="28"/>
          <w:lang w:val="en-US" w:eastAsia="zh-CN"/>
        </w:rPr>
        <w:t>.</w:t>
      </w:r>
      <w:r>
        <w:rPr>
          <w:rFonts w:hint="eastAsia" w:ascii="Times New Roman" w:hAnsi="Times New Roman" w:eastAsia="宋体"/>
          <w:b/>
          <w:bCs/>
          <w:sz w:val="28"/>
        </w:rPr>
        <w:t xml:space="preserve">  研究背景及意义</w:t>
      </w:r>
    </w:p>
    <w:p w14:paraId="098ACCC6">
      <w:pPr>
        <w:jc w:val="both"/>
        <w:rPr>
          <w:rFonts w:hint="eastAsia"/>
        </w:rPr>
      </w:pPr>
      <w:r>
        <w:rPr>
          <w:rFonts w:hint="eastAsia"/>
        </w:rPr>
        <w:t>富Nb玄武岩是全球岩石学家</w:t>
      </w:r>
      <w:r>
        <w:rPr>
          <w:rFonts w:hint="eastAsia"/>
          <w:lang w:val="en-US" w:eastAsia="zh-CN"/>
        </w:rPr>
        <w:t>特别</w:t>
      </w:r>
      <w:r>
        <w:rPr>
          <w:rFonts w:hint="eastAsia"/>
        </w:rPr>
        <w:t>关注的独特岩石类型，对理解俯冲作用、地幔演化及成矿机制意义重大。它最早在菲律宾Mindanao岛被发现，后在俄罗斯Kamchatka半岛等地也有发现，属于Si饱和、富Na的岛弧玄武岩，与高Nb玄武岩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Nb</w:t>
      </w:r>
      <w:r>
        <w:rPr>
          <w:rFonts w:hint="eastAsia"/>
        </w:rPr>
        <w:t>&gt;</w:t>
      </w:r>
      <w:r>
        <w:rPr>
          <w:rFonts w:hint="eastAsia"/>
          <w:lang w:val="en-US" w:eastAsia="zh-CN"/>
        </w:rPr>
        <w:t>20 ppm</w:t>
      </w:r>
      <w:r>
        <w:rPr>
          <w:rFonts w:hint="eastAsia"/>
          <w:lang w:eastAsia="zh-CN"/>
        </w:rPr>
        <w:t>）</w:t>
      </w:r>
      <w:r>
        <w:rPr>
          <w:rFonts w:hint="eastAsia"/>
        </w:rPr>
        <w:t>有相似地球化学特征，且共生岩石组合独特，被认为是大洋板块俯冲的直接产物。</w:t>
      </w:r>
    </w:p>
    <w:p w14:paraId="2E7622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</w:rPr>
      </w:pPr>
      <w:r>
        <w:rPr>
          <w:rFonts w:hint="eastAsia"/>
        </w:rPr>
        <w:t>天山造山带位于中亚造山带西南缘，乌孙山位于新疆伊犁盆地南缘，新生代</w:t>
      </w:r>
      <w:r>
        <w:rPr>
          <w:rFonts w:hint="eastAsia"/>
          <w:lang w:val="en-US" w:eastAsia="zh-CN"/>
        </w:rPr>
        <w:t>以来，</w:t>
      </w:r>
      <w:r>
        <w:rPr>
          <w:rFonts w:hint="eastAsia"/>
        </w:rPr>
        <w:t>受欧亚</w:t>
      </w:r>
      <w:r>
        <w:rPr>
          <w:rFonts w:hint="eastAsia"/>
          <w:lang w:val="en-US" w:eastAsia="zh-CN"/>
        </w:rPr>
        <w:t>板块</w:t>
      </w:r>
      <w:r>
        <w:rPr>
          <w:rFonts w:hint="eastAsia"/>
        </w:rPr>
        <w:t>与印度板块碰撞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影响，其构造演化</w:t>
      </w:r>
      <w:r>
        <w:rPr>
          <w:rFonts w:hint="eastAsia"/>
          <w:lang w:val="en-US" w:eastAsia="zh-CN"/>
        </w:rPr>
        <w:t>与</w:t>
      </w:r>
      <w:r>
        <w:rPr>
          <w:rFonts w:hint="eastAsia"/>
        </w:rPr>
        <w:t>地幔楔部分熔融</w:t>
      </w:r>
      <w:r>
        <w:rPr>
          <w:rFonts w:hint="eastAsia"/>
          <w:lang w:eastAsia="zh-CN"/>
        </w:rPr>
        <w:t>、</w:t>
      </w:r>
      <w:r>
        <w:rPr>
          <w:rFonts w:hint="eastAsia"/>
        </w:rPr>
        <w:t>富Nb玄武岩</w:t>
      </w:r>
      <w:r>
        <w:rPr>
          <w:rFonts w:hint="eastAsia"/>
          <w:lang w:val="en-US" w:eastAsia="zh-CN"/>
        </w:rPr>
        <w:t>密切</w:t>
      </w:r>
      <w:r>
        <w:rPr>
          <w:rFonts w:hint="eastAsia"/>
        </w:rPr>
        <w:t>成因。</w:t>
      </w:r>
    </w:p>
    <w:p w14:paraId="4B2BAF03">
      <w:pPr>
        <w:spacing w:before="156" w:beforeLines="50" w:after="156" w:afterLines="50" w:line="300" w:lineRule="auto"/>
        <w:ind w:left="0" w:leftChars="0" w:firstLine="0" w:firstLineChars="0"/>
        <w:jc w:val="left"/>
        <w:rPr>
          <w:rFonts w:hint="default" w:ascii="Times New Roman" w:hAnsi="Times New Roman" w:eastAsia="宋体"/>
          <w:b/>
          <w:bCs/>
          <w:sz w:val="28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8"/>
          <w:lang w:val="en-US" w:eastAsia="zh-CN"/>
        </w:rPr>
        <w:t>2</w:t>
      </w:r>
      <w:r>
        <w:rPr>
          <w:rFonts w:hint="eastAsia"/>
          <w:b/>
          <w:bCs/>
          <w:sz w:val="28"/>
          <w:lang w:val="en-US" w:eastAsia="zh-CN"/>
        </w:rPr>
        <w:t>.</w:t>
      </w:r>
      <w:r>
        <w:rPr>
          <w:rFonts w:hint="eastAsia" w:ascii="Times New Roman" w:hAnsi="Times New Roman" w:eastAsia="宋体"/>
          <w:b/>
          <w:bCs/>
          <w:sz w:val="28"/>
          <w:lang w:val="en-US" w:eastAsia="zh-CN"/>
        </w:rPr>
        <w:t xml:space="preserve">  发展现状</w:t>
      </w:r>
    </w:p>
    <w:p w14:paraId="3B948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</w:rPr>
      </w:pPr>
      <w:r>
        <w:rPr>
          <w:rFonts w:hint="eastAsia"/>
        </w:rPr>
        <w:t>国际</w:t>
      </w:r>
      <w:r>
        <w:rPr>
          <w:rFonts w:hint="eastAsia"/>
          <w:lang w:val="en-US" w:eastAsia="zh-CN"/>
        </w:rPr>
        <w:t>上</w:t>
      </w:r>
      <w:r>
        <w:rPr>
          <w:rFonts w:hint="eastAsia"/>
        </w:rPr>
        <w:t>对富Nb岛弧玄武岩研究成果丰富，</w:t>
      </w:r>
      <w:r>
        <w:rPr>
          <w:rFonts w:hint="eastAsia"/>
          <w:lang w:val="en-US" w:eastAsia="zh-CN"/>
        </w:rPr>
        <w:t>而</w:t>
      </w:r>
      <w:r>
        <w:rPr>
          <w:rFonts w:hint="eastAsia"/>
        </w:rPr>
        <w:t>国内确认</w:t>
      </w:r>
      <w:r>
        <w:rPr>
          <w:rFonts w:hint="eastAsia"/>
          <w:lang w:eastAsia="zh-CN"/>
        </w:rPr>
        <w:t>的</w:t>
      </w:r>
      <w:r>
        <w:rPr>
          <w:rFonts w:hint="eastAsia"/>
        </w:rPr>
        <w:t>产地较少，在微量元素行为、源区界定等方面</w:t>
      </w:r>
      <w:r>
        <w:rPr>
          <w:rFonts w:hint="eastAsia"/>
          <w:lang w:val="en-US" w:eastAsia="zh-CN"/>
        </w:rPr>
        <w:t>仍</w:t>
      </w:r>
      <w:r>
        <w:rPr>
          <w:rFonts w:hint="eastAsia"/>
        </w:rPr>
        <w:t>存在争议。乌孙山地区产出的富Nb玄武岩</w:t>
      </w:r>
      <w:r>
        <w:rPr>
          <w:rFonts w:hint="eastAsia"/>
          <w:lang w:val="en-US" w:eastAsia="zh-CN"/>
        </w:rPr>
        <w:t>究竟</w:t>
      </w:r>
      <w:r>
        <w:rPr>
          <w:rFonts w:hint="eastAsia"/>
        </w:rPr>
        <w:t>属于岛弧还是大陆玄武岩，</w:t>
      </w:r>
      <w:r>
        <w:rPr>
          <w:rFonts w:hint="eastAsia"/>
          <w:lang w:val="en-US" w:eastAsia="zh-CN"/>
        </w:rPr>
        <w:t>这一争论</w:t>
      </w:r>
      <w:r>
        <w:rPr>
          <w:rFonts w:hint="eastAsia"/>
        </w:rPr>
        <w:t>关乎</w:t>
      </w:r>
      <w:r>
        <w:rPr>
          <w:rFonts w:hint="eastAsia"/>
          <w:lang w:val="en-US" w:eastAsia="zh-CN"/>
        </w:rPr>
        <w:t>区域</w:t>
      </w:r>
      <w:r>
        <w:rPr>
          <w:rFonts w:hint="eastAsia"/>
        </w:rPr>
        <w:t>及中亚造山带构造演化，因此对其</w:t>
      </w:r>
      <w:r>
        <w:rPr>
          <w:rFonts w:hint="eastAsia"/>
          <w:lang w:val="en-US" w:eastAsia="zh-CN"/>
        </w:rPr>
        <w:t>开展</w:t>
      </w:r>
      <w:r>
        <w:rPr>
          <w:rFonts w:hint="eastAsia"/>
        </w:rPr>
        <w:t>研究具有重要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学术价值。</w:t>
      </w:r>
    </w:p>
    <w:p w14:paraId="50389CB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9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300" w:lineRule="auto"/>
        <w:ind w:leftChars="0"/>
        <w:jc w:val="left"/>
        <w:textAlignment w:val="auto"/>
        <w:rPr>
          <w:rFonts w:hint="eastAsia" w:ascii="Times New Roman" w:hAnsi="Times New Roman" w:eastAsia="宋体"/>
          <w:b/>
          <w:bCs/>
          <w:sz w:val="28"/>
          <w:lang w:val="en-US" w:eastAsia="zh-CN"/>
        </w:rPr>
      </w:pPr>
      <w:r>
        <w:rPr>
          <w:rFonts w:hint="eastAsia"/>
          <w:b/>
          <w:bCs/>
          <w:sz w:val="28"/>
          <w:lang w:val="en-US" w:eastAsia="zh-CN"/>
        </w:rPr>
        <w:t xml:space="preserve">3. </w:t>
      </w:r>
      <w:r>
        <w:rPr>
          <w:rFonts w:hint="eastAsia" w:ascii="Times New Roman" w:hAnsi="Times New Roman" w:eastAsia="宋体"/>
          <w:b/>
          <w:bCs/>
          <w:sz w:val="28"/>
          <w:lang w:val="en-US" w:eastAsia="zh-CN"/>
        </w:rPr>
        <w:t xml:space="preserve"> </w:t>
      </w:r>
      <w:bookmarkStart w:id="2" w:name="_GoBack"/>
      <w:r>
        <w:rPr>
          <w:rFonts w:hint="eastAsia"/>
          <w:b/>
          <w:bCs/>
          <w:sz w:val="28"/>
          <w:lang w:val="en-US" w:eastAsia="zh-CN"/>
        </w:rPr>
        <w:t>实验</w:t>
      </w:r>
      <w:r>
        <w:rPr>
          <w:rFonts w:hint="eastAsia" w:ascii="Times New Roman" w:hAnsi="Times New Roman" w:eastAsia="宋体"/>
          <w:b/>
          <w:bCs/>
          <w:sz w:val="28"/>
          <w:lang w:val="en-US" w:eastAsia="zh-CN"/>
        </w:rPr>
        <w:t>分析</w:t>
      </w:r>
      <w:bookmarkEnd w:id="2"/>
      <w:r>
        <w:rPr>
          <w:rFonts w:hint="eastAsia" w:ascii="Times New Roman" w:hAnsi="Times New Roman"/>
          <w:b/>
          <w:bCs/>
          <w:sz w:val="28"/>
          <w:lang w:val="en-US" w:eastAsia="zh-CN"/>
        </w:rPr>
        <w:tab/>
      </w:r>
    </w:p>
    <w:p w14:paraId="2A96201E">
      <w:pPr>
        <w:spacing w:before="156" w:beforeLines="50" w:after="156" w:afterLines="50" w:line="300" w:lineRule="auto"/>
        <w:ind w:left="0" w:leftChars="0" w:firstLine="0" w:firstLineChars="0"/>
        <w:jc w:val="left"/>
        <w:rPr>
          <w:rFonts w:hint="default" w:ascii="Times New Roman" w:hAnsi="Times New Roman" w:eastAsia="宋体"/>
          <w:b/>
          <w:bCs/>
          <w:sz w:val="28"/>
          <w:lang w:val="en-US" w:eastAsia="zh-CN"/>
        </w:rPr>
      </w:pPr>
      <w:r>
        <w:rPr>
          <w:rFonts w:ascii="Times New Roman" w:hAnsi="Times New Roman"/>
          <w:b/>
          <w:bCs/>
          <w:sz w:val="24"/>
        </w:rPr>
        <w:t>3</w:t>
      </w:r>
      <w:r>
        <w:rPr>
          <w:rFonts w:hint="eastAsia" w:ascii="Times New Roman" w:hAnsi="Times New Roman"/>
          <w:b/>
          <w:bCs/>
          <w:sz w:val="24"/>
        </w:rPr>
        <w:t>.1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 xml:space="preserve">  地球化学分析</w:t>
      </w:r>
    </w:p>
    <w:p w14:paraId="5C304A3E">
      <w:pPr>
        <w:jc w:val="both"/>
        <w:rPr>
          <w:rFonts w:hint="eastAsia"/>
        </w:rPr>
      </w:pPr>
      <w:r>
        <w:rPr>
          <w:rFonts w:hint="eastAsia"/>
        </w:rPr>
        <w:t>研究</w:t>
      </w:r>
      <w:r>
        <w:rPr>
          <w:rFonts w:hint="eastAsia"/>
          <w:lang w:val="en-US" w:eastAsia="zh-CN"/>
        </w:rPr>
        <w:t>采用</w:t>
      </w:r>
      <w:r>
        <w:rPr>
          <w:rFonts w:hint="eastAsia"/>
        </w:rPr>
        <w:t>岩相学观察、X射线荧光光谱（XRF）、电感耦合等离子体质谱（ICP-MS）</w:t>
      </w:r>
      <w:r>
        <w:rPr>
          <w:rFonts w:hint="eastAsia"/>
          <w:lang w:val="en-US" w:eastAsia="zh-CN"/>
        </w:rPr>
        <w:t>及</w:t>
      </w:r>
      <w:r>
        <w:rPr>
          <w:rFonts w:hint="eastAsia"/>
        </w:rPr>
        <w:t>同位素分析等技术，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结合Geokit</w:t>
      </w:r>
      <w:r>
        <w:rPr>
          <w:rFonts w:hint="eastAsia"/>
          <w:lang w:val="en-US" w:eastAsia="zh-CN"/>
        </w:rPr>
        <w:t>数据处理平台进行成果</w:t>
      </w:r>
      <w:r>
        <w:rPr>
          <w:rFonts w:hint="eastAsia"/>
        </w:rPr>
        <w:t>分析。</w:t>
      </w:r>
    </w:p>
    <w:p w14:paraId="643B07FC">
      <w:pPr>
        <w:jc w:val="both"/>
        <w:rPr>
          <w:rFonts w:hint="eastAsia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主量元素</w:t>
      </w:r>
    </w:p>
    <w:p w14:paraId="1AE3D3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85" w:afterLines="100"/>
        <w:jc w:val="both"/>
        <w:textAlignment w:val="auto"/>
        <w:rPr>
          <w:rFonts w:hint="eastAsia"/>
        </w:rPr>
      </w:pPr>
      <w:r>
        <w:rPr>
          <w:rFonts w:hint="eastAsia"/>
        </w:rPr>
        <w:t>乌孙山火山岩属玄武岩，</w:t>
      </w:r>
      <w:r>
        <w:rPr>
          <w:rFonts w:hint="eastAsia"/>
          <w:lang w:val="en-US" w:eastAsia="zh-CN"/>
        </w:rPr>
        <w:t>具有</w:t>
      </w:r>
      <w:r>
        <w:rPr>
          <w:rFonts w:hint="eastAsia"/>
        </w:rPr>
        <w:t>TiO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、P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O</w:t>
      </w:r>
      <w:r>
        <w:rPr>
          <w:rFonts w:hint="eastAsia"/>
          <w:vertAlign w:val="subscript"/>
          <w:lang w:val="en-US" w:eastAsia="zh-CN"/>
        </w:rPr>
        <w:t>5</w:t>
      </w:r>
      <w:r>
        <w:rPr>
          <w:rFonts w:hint="eastAsia"/>
        </w:rPr>
        <w:t>、Na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O含量高，富</w:t>
      </w:r>
      <w:r>
        <w:rPr>
          <w:rFonts w:hint="eastAsia"/>
          <w:lang w:val="en-US" w:eastAsia="zh-CN"/>
        </w:rPr>
        <w:t>Na</w:t>
      </w:r>
      <w:r>
        <w:rPr>
          <w:rFonts w:hint="eastAsia"/>
        </w:rPr>
        <w:t>贫</w:t>
      </w:r>
      <w:r>
        <w:rPr>
          <w:rFonts w:hint="eastAsia"/>
          <w:lang w:val="en-US" w:eastAsia="zh-CN"/>
        </w:rPr>
        <w:t>K的特点</w:t>
      </w:r>
      <w:r>
        <w:rPr>
          <w:rFonts w:hint="eastAsia"/>
        </w:rPr>
        <w:t>，里特曼指数大，涵盖多种类型及岩浆系列，Mg</w:t>
      </w:r>
      <w:r>
        <w:rPr>
          <w:rFonts w:hint="eastAsia"/>
          <w:vertAlign w:val="superscript"/>
        </w:rPr>
        <w:t>#</w:t>
      </w:r>
      <w:r>
        <w:rPr>
          <w:rFonts w:hint="eastAsia"/>
        </w:rPr>
        <w:t>值及主量元素与MgO相关性对构造</w:t>
      </w:r>
    </w:p>
    <w:p w14:paraId="5F1594C4">
      <w:pPr>
        <w:jc w:val="both"/>
        <w:sectPr>
          <w:headerReference r:id="rId5" w:type="default"/>
          <w:footerReference r:id="rId7" w:type="default"/>
          <w:headerReference r:id="rId6" w:type="even"/>
          <w:footerReference r:id="rId8" w:type="even"/>
          <w:footnotePr>
            <w:numFmt w:val="decimalEnclosedCircleChinese"/>
            <w:numRestart w:val="eachSect"/>
          </w:footnotePr>
          <w:pgSz w:w="11907" w:h="16840"/>
          <w:pgMar w:top="1418" w:right="1418" w:bottom="1418" w:left="1701" w:header="850" w:footer="850" w:gutter="0"/>
          <w:pgNumType w:start="1"/>
          <w:cols w:space="425" w:num="1"/>
          <w:docGrid w:linePitch="384" w:charSpace="7430"/>
        </w:sectPr>
      </w:pPr>
    </w:p>
    <w:p w14:paraId="12C183AB">
      <w:pPr>
        <w:ind w:left="0" w:leftChars="0" w:firstLine="0" w:firstLineChars="0"/>
        <w:jc w:val="both"/>
        <w:rPr>
          <w:rFonts w:hint="eastAsia"/>
        </w:rPr>
      </w:pPr>
      <w:r>
        <w:rPr>
          <w:rFonts w:hint="eastAsia"/>
        </w:rPr>
        <w:t>研究重要。</w:t>
      </w:r>
    </w:p>
    <w:p w14:paraId="34414AEB">
      <w:pPr>
        <w:jc w:val="both"/>
        <w:rPr>
          <w:rFonts w:hint="eastAsia"/>
        </w:rPr>
      </w:pPr>
      <w:r>
        <w:rPr>
          <w:rFonts w:hint="eastAsia"/>
          <w:lang w:val="en-US" w:eastAsia="zh-CN"/>
        </w:rPr>
        <w:t>2）</w:t>
      </w:r>
      <w:r>
        <w:rPr>
          <w:rFonts w:hint="eastAsia"/>
        </w:rPr>
        <w:t>微量元素</w:t>
      </w:r>
    </w:p>
    <w:p w14:paraId="5D1F29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85" w:afterLines="100"/>
        <w:ind w:firstLine="480" w:firstLineChars="200"/>
        <w:jc w:val="both"/>
        <w:textAlignment w:val="auto"/>
        <w:rPr>
          <w:rFonts w:hint="eastAsia" w:eastAsia="宋体"/>
          <w:lang w:val="en-US" w:eastAsia="zh-CN"/>
        </w:rPr>
      </w:pPr>
      <w:r>
        <w:rPr>
          <w:rFonts w:hint="eastAsia"/>
        </w:rPr>
        <w:t>样品富含</w:t>
      </w:r>
      <w:r>
        <w:rPr>
          <w:rFonts w:hint="eastAsia"/>
          <w:lang w:val="en-US" w:eastAsia="zh-CN"/>
        </w:rPr>
        <w:t>高场强</w:t>
      </w:r>
      <w:r>
        <w:rPr>
          <w:rFonts w:hint="eastAsia"/>
        </w:rPr>
        <w:t>元素，大离子亲石元素亏损，稀土元素左高右低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图3.1a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，蛛网图呈锯齿状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图3.1b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表现出</w:t>
      </w:r>
      <w:r>
        <w:rPr>
          <w:rFonts w:hint="eastAsia"/>
        </w:rPr>
        <w:t>岛弧岩浆岩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特征，</w:t>
      </w:r>
      <w:r>
        <w:rPr>
          <w:rFonts w:hint="eastAsia"/>
          <w:lang w:val="en-US" w:eastAsia="zh-CN"/>
        </w:rPr>
        <w:t>且</w:t>
      </w:r>
      <w:r>
        <w:rPr>
          <w:rFonts w:hint="eastAsia"/>
        </w:rPr>
        <w:t>∑REE高于洋脊玄武岩</w:t>
      </w:r>
      <w:r>
        <w:rPr>
          <w:rFonts w:hint="eastAsia"/>
          <w:lang w:eastAsia="zh-CN"/>
        </w:rPr>
        <w:t>。</w:t>
      </w:r>
    </w:p>
    <w:p w14:paraId="1E8D74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85" w:afterLines="100"/>
        <w:jc w:val="center"/>
        <w:textAlignment w:val="auto"/>
        <w:rPr>
          <w:rFonts w:hint="eastAsia" w:ascii="Times New Roman" w:hAnsi="Times New Roman"/>
          <w:b/>
          <w:bCs/>
          <w:sz w:val="24"/>
          <w:lang w:val="en-US" w:eastAsia="zh-CN"/>
        </w:rPr>
      </w:pPr>
      <w:r>
        <w:rPr>
          <w:rFonts w:hint="eastAsia" w:cs="Times New Roman"/>
          <w:lang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14605</wp:posOffset>
            </wp:positionV>
            <wp:extent cx="5185410" cy="2120900"/>
            <wp:effectExtent l="0" t="0" r="11430" b="12700"/>
            <wp:wrapTopAndBottom/>
            <wp:docPr id="1" name="图片 1" descr="图3-6 稀土+蛛网图（图未改）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3-6 稀土+蛛网图（图未改）-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sz w:val="21"/>
          <w:szCs w:val="21"/>
          <w:lang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2577465</wp:posOffset>
            </wp:positionV>
            <wp:extent cx="5435600" cy="4469130"/>
            <wp:effectExtent l="0" t="0" r="5080" b="11430"/>
            <wp:wrapTopAndBottom/>
            <wp:docPr id="63" name="图片 63" descr="图4-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4-4-1"/>
                    <pic:cNvPicPr>
                      <a:picLocks noChangeAspect="1"/>
                    </pic:cNvPicPr>
                  </pic:nvPicPr>
                  <pic:blipFill>
                    <a:blip r:embed="rId17"/>
                    <a:srcRect l="1138" r="1412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sz w:val="21"/>
          <w:szCs w:val="21"/>
        </w:rPr>
        <w:t xml:space="preserve">图3. 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>1</w:t>
      </w:r>
      <w:r>
        <w:rPr>
          <w:rFonts w:cs="Times New Roman"/>
          <w:b/>
          <w:bCs/>
          <w:sz w:val="21"/>
          <w:szCs w:val="21"/>
        </w:rPr>
        <w:t xml:space="preserve">  </w:t>
      </w:r>
      <w:r>
        <w:rPr>
          <w:rFonts w:hint="eastAsia" w:cs="Times New Roman"/>
          <w:b/>
          <w:bCs/>
          <w:sz w:val="21"/>
          <w:szCs w:val="21"/>
        </w:rPr>
        <w:t>（</w:t>
      </w:r>
      <w:r>
        <w:rPr>
          <w:rFonts w:cs="Times New Roman"/>
          <w:b/>
          <w:bCs/>
          <w:sz w:val="21"/>
          <w:szCs w:val="21"/>
        </w:rPr>
        <w:t>a</w:t>
      </w:r>
      <w:r>
        <w:rPr>
          <w:rFonts w:hint="eastAsia" w:cs="Times New Roman"/>
          <w:b/>
          <w:bCs/>
          <w:sz w:val="21"/>
          <w:szCs w:val="21"/>
        </w:rPr>
        <w:t>）</w:t>
      </w:r>
      <w:r>
        <w:rPr>
          <w:rFonts w:cs="Times New Roman"/>
          <w:b/>
          <w:bCs/>
          <w:sz w:val="21"/>
          <w:szCs w:val="21"/>
        </w:rPr>
        <w:t>CHUR标准化稀土元素分布图；</w:t>
      </w:r>
      <w:r>
        <w:rPr>
          <w:rFonts w:hint="eastAsia" w:cs="Times New Roman"/>
          <w:b/>
          <w:bCs/>
          <w:sz w:val="21"/>
          <w:szCs w:val="21"/>
        </w:rPr>
        <w:t>（</w:t>
      </w:r>
      <w:r>
        <w:rPr>
          <w:rFonts w:cs="Times New Roman"/>
          <w:b/>
          <w:bCs/>
          <w:sz w:val="21"/>
          <w:szCs w:val="21"/>
        </w:rPr>
        <w:t>b</w:t>
      </w:r>
      <w:r>
        <w:rPr>
          <w:rFonts w:hint="eastAsia" w:cs="Times New Roman"/>
          <w:b/>
          <w:bCs/>
          <w:sz w:val="21"/>
          <w:szCs w:val="21"/>
        </w:rPr>
        <w:t>）</w:t>
      </w:r>
      <w:r>
        <w:rPr>
          <w:rFonts w:cs="Times New Roman"/>
          <w:b/>
          <w:bCs/>
          <w:sz w:val="21"/>
          <w:szCs w:val="21"/>
        </w:rPr>
        <w:t>PM标准化微量元素蜘蛛图</w:t>
      </w:r>
    </w:p>
    <w:p w14:paraId="627BDD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85" w:afterLines="100"/>
        <w:ind w:firstLine="422"/>
        <w:jc w:val="center"/>
        <w:textAlignment w:val="auto"/>
        <w:rPr>
          <w:rFonts w:cs="Times New Roman"/>
          <w:b/>
          <w:bCs/>
          <w:sz w:val="21"/>
          <w:szCs w:val="21"/>
          <w:lang w:bidi="ar"/>
        </w:rPr>
      </w:pPr>
      <w:r>
        <w:rPr>
          <w:rFonts w:cs="Times New Roman"/>
          <w:b/>
          <w:bCs/>
          <w:sz w:val="21"/>
          <w:szCs w:val="21"/>
          <w:lang w:bidi="ar"/>
        </w:rPr>
        <w:t>图</w:t>
      </w:r>
      <w:r>
        <w:rPr>
          <w:rFonts w:hint="eastAsia" w:cs="Times New Roman"/>
          <w:b/>
          <w:bCs/>
          <w:sz w:val="21"/>
          <w:szCs w:val="21"/>
          <w:lang w:val="en-US" w:eastAsia="zh-CN" w:bidi="ar"/>
        </w:rPr>
        <w:t>3</w:t>
      </w:r>
      <w:r>
        <w:rPr>
          <w:rFonts w:cs="Times New Roman"/>
          <w:b/>
          <w:bCs/>
          <w:sz w:val="21"/>
          <w:szCs w:val="21"/>
          <w:lang w:bidi="ar"/>
        </w:rPr>
        <w:t xml:space="preserve">. </w:t>
      </w:r>
      <w:r>
        <w:rPr>
          <w:rFonts w:hint="eastAsia" w:cs="Times New Roman"/>
          <w:b/>
          <w:bCs/>
          <w:sz w:val="21"/>
          <w:szCs w:val="21"/>
          <w:lang w:val="en-US" w:eastAsia="zh-CN" w:bidi="ar"/>
        </w:rPr>
        <w:t>2</w:t>
      </w:r>
      <w:r>
        <w:rPr>
          <w:rFonts w:cs="Times New Roman"/>
          <w:b/>
          <w:bCs/>
          <w:sz w:val="21"/>
          <w:szCs w:val="21"/>
          <w:lang w:bidi="ar"/>
        </w:rPr>
        <w:t xml:space="preserve">  </w:t>
      </w:r>
      <w:r>
        <w:rPr>
          <w:rFonts w:hint="eastAsia" w:cs="Times New Roman"/>
          <w:b/>
          <w:bCs/>
          <w:sz w:val="21"/>
          <w:szCs w:val="21"/>
          <w:lang w:bidi="ar"/>
        </w:rPr>
        <w:t>（</w:t>
      </w:r>
      <w:r>
        <w:rPr>
          <w:rFonts w:cs="Times New Roman"/>
          <w:b/>
          <w:bCs/>
          <w:sz w:val="21"/>
          <w:szCs w:val="21"/>
          <w:lang w:bidi="ar"/>
        </w:rPr>
        <w:t>a</w:t>
      </w:r>
      <w:r>
        <w:rPr>
          <w:rFonts w:hint="eastAsia" w:cs="Times New Roman"/>
          <w:b/>
          <w:bCs/>
          <w:sz w:val="21"/>
          <w:szCs w:val="21"/>
          <w:lang w:bidi="ar"/>
        </w:rPr>
        <w:t>，</w:t>
      </w:r>
      <w:r>
        <w:rPr>
          <w:rFonts w:cs="Times New Roman"/>
          <w:b/>
          <w:bCs/>
          <w:sz w:val="21"/>
          <w:szCs w:val="21"/>
          <w:lang w:bidi="ar"/>
        </w:rPr>
        <w:t>b</w:t>
      </w:r>
      <w:r>
        <w:rPr>
          <w:rFonts w:hint="eastAsia" w:cs="Times New Roman"/>
          <w:b/>
          <w:bCs/>
          <w:sz w:val="21"/>
          <w:szCs w:val="21"/>
          <w:lang w:bidi="ar"/>
        </w:rPr>
        <w:t>，</w:t>
      </w:r>
      <w:r>
        <w:rPr>
          <w:rFonts w:cs="Times New Roman"/>
          <w:b/>
          <w:bCs/>
          <w:sz w:val="21"/>
          <w:szCs w:val="21"/>
          <w:lang w:bidi="ar"/>
        </w:rPr>
        <w:t>c</w:t>
      </w:r>
      <w:r>
        <w:rPr>
          <w:rFonts w:hint="eastAsia" w:cs="Times New Roman"/>
          <w:b/>
          <w:bCs/>
          <w:sz w:val="21"/>
          <w:szCs w:val="21"/>
          <w:lang w:bidi="ar"/>
        </w:rPr>
        <w:t>，</w:t>
      </w:r>
      <w:r>
        <w:rPr>
          <w:rFonts w:cs="Times New Roman"/>
          <w:b/>
          <w:bCs/>
          <w:sz w:val="21"/>
          <w:szCs w:val="21"/>
          <w:lang w:bidi="ar"/>
        </w:rPr>
        <w:t>d</w:t>
      </w:r>
      <w:r>
        <w:rPr>
          <w:rFonts w:hint="eastAsia" w:cs="Times New Roman"/>
          <w:b/>
          <w:bCs/>
          <w:sz w:val="21"/>
          <w:szCs w:val="21"/>
          <w:lang w:bidi="ar"/>
        </w:rPr>
        <w:t>）</w:t>
      </w:r>
      <w:r>
        <w:rPr>
          <w:rFonts w:cs="Times New Roman"/>
          <w:b/>
          <w:bCs/>
          <w:sz w:val="21"/>
          <w:szCs w:val="21"/>
          <w:lang w:bidi="ar"/>
        </w:rPr>
        <w:t>乌孙山地区岩浆源区特征判别图</w:t>
      </w:r>
    </w:p>
    <w:p w14:paraId="4E7A5E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3）</w:t>
      </w:r>
      <w:r>
        <w:rPr>
          <w:rFonts w:hint="eastAsia"/>
        </w:rPr>
        <w:t>Sr-Nd同位素组成</w:t>
      </w:r>
    </w:p>
    <w:p w14:paraId="1693ABD7">
      <w:pPr>
        <w:ind w:left="0" w:leftChars="0" w:firstLine="0" w:firstLineChars="0"/>
        <w:sectPr>
          <w:headerReference r:id="rId9" w:type="even"/>
          <w:footnotePr>
            <w:numFmt w:val="decimalEnclosedCircleChinese"/>
            <w:numRestart w:val="eachSect"/>
          </w:footnotePr>
          <w:pgSz w:w="11907" w:h="16840"/>
          <w:pgMar w:top="1418" w:right="1418" w:bottom="1418" w:left="1701" w:header="850" w:footer="850" w:gutter="0"/>
          <w:cols w:space="425" w:num="1"/>
          <w:docGrid w:linePitch="384" w:charSpace="7430"/>
        </w:sectPr>
      </w:pPr>
    </w:p>
    <w:p w14:paraId="7004B1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8" w:afterLines="100"/>
        <w:ind w:left="0" w:leftChars="0" w:firstLine="422" w:firstLineChars="200"/>
        <w:jc w:val="center"/>
        <w:textAlignment w:val="auto"/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</w:pPr>
      <w:r>
        <w:rPr>
          <w:rFonts w:cs="Times New Roman"/>
          <w:b/>
          <w:bCs/>
          <w:sz w:val="21"/>
          <w:szCs w:val="21"/>
          <w:lang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97155</wp:posOffset>
            </wp:positionV>
            <wp:extent cx="5274310" cy="2054860"/>
            <wp:effectExtent l="0" t="0" r="13970" b="2540"/>
            <wp:wrapTopAndBottom/>
            <wp:docPr id="62" name="图片 62" descr="图4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4-3-1"/>
                    <pic:cNvPicPr>
                      <a:picLocks noChangeAspect="1"/>
                    </pic:cNvPicPr>
                  </pic:nvPicPr>
                  <pic:blipFill>
                    <a:blip r:embed="rId18"/>
                    <a:srcRect t="7032" r="3579" b="65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>图</w:t>
      </w:r>
      <w:r>
        <w:rPr>
          <w:rFonts w:hint="eastAsia" w:cs="Times New Roman"/>
          <w:b/>
          <w:bCs/>
          <w:sz w:val="21"/>
          <w:szCs w:val="21"/>
          <w:lang w:val="en-US" w:eastAsia="zh-CN" w:bidi="ar"/>
        </w:rPr>
        <w:t>3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 xml:space="preserve">. 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fldChar w:fldCharType="begin"/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instrText xml:space="preserve"> SEQ 图4. \* ARABIC </w:instrText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fldChar w:fldCharType="separate"/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>3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fldChar w:fldCharType="end"/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 xml:space="preserve"> 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bidi="ar"/>
        </w:rPr>
        <w:t>（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>a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bidi="ar"/>
        </w:rPr>
        <w:t>）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>La/Yb vs Sm/Yb图；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bidi="ar"/>
        </w:rPr>
        <w:t>（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>b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bidi="ar"/>
        </w:rPr>
        <w:t>）（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>La/Nb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bidi="ar"/>
        </w:rPr>
        <w:t>）</w:t>
      </w:r>
      <w:r>
        <w:rPr>
          <w:rFonts w:ascii="Times New Roman" w:hAnsi="Times New Roman" w:eastAsia="宋体" w:cs="Times New Roman"/>
          <w:b/>
          <w:bCs/>
          <w:sz w:val="21"/>
          <w:szCs w:val="21"/>
          <w:vertAlign w:val="subscript"/>
          <w:lang w:bidi="ar"/>
        </w:rPr>
        <w:t>PM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 xml:space="preserve"> vs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bidi="ar"/>
        </w:rPr>
        <w:t>（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>Th/Ta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bidi="ar"/>
        </w:rPr>
        <w:t>）</w:t>
      </w:r>
      <w:r>
        <w:rPr>
          <w:rFonts w:ascii="Times New Roman" w:hAnsi="Times New Roman" w:eastAsia="宋体" w:cs="Times New Roman"/>
          <w:b/>
          <w:bCs/>
          <w:sz w:val="21"/>
          <w:szCs w:val="21"/>
          <w:vertAlign w:val="subscript"/>
          <w:lang w:bidi="ar"/>
        </w:rPr>
        <w:t>PM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>图</w:t>
      </w:r>
    </w:p>
    <w:p w14:paraId="66C056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firstLine="48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vertAlign w:val="superscript"/>
          <w:lang w:val="en-US" w:eastAsia="zh-CN"/>
        </w:rPr>
        <w:t>87</w:t>
      </w:r>
      <w:r>
        <w:rPr>
          <w:rFonts w:hint="eastAsia"/>
          <w:lang w:val="en-US" w:eastAsia="zh-CN"/>
        </w:rPr>
        <w:t>Sr/</w:t>
      </w:r>
      <w:r>
        <w:rPr>
          <w:rFonts w:hint="eastAsia"/>
          <w:vertAlign w:val="superscript"/>
          <w:lang w:val="en-US" w:eastAsia="zh-CN"/>
        </w:rPr>
        <w:t>86</w:t>
      </w:r>
      <w:r>
        <w:rPr>
          <w:rFonts w:hint="eastAsia"/>
          <w:lang w:val="en-US" w:eastAsia="zh-CN"/>
        </w:rPr>
        <w:t>Sr比值低，</w:t>
      </w:r>
      <w:r>
        <w:rPr>
          <w:rFonts w:hint="eastAsia"/>
          <w:vertAlign w:val="superscript"/>
          <w:lang w:val="en-US" w:eastAsia="zh-CN"/>
        </w:rPr>
        <w:t>143</w:t>
      </w:r>
      <w:r>
        <w:rPr>
          <w:rFonts w:hint="eastAsia"/>
          <w:lang w:val="en-US" w:eastAsia="zh-CN"/>
        </w:rPr>
        <w:t>Nd/</w:t>
      </w:r>
      <w:r>
        <w:rPr>
          <w:rFonts w:hint="eastAsia"/>
          <w:vertAlign w:val="superscript"/>
          <w:lang w:val="en-US" w:eastAsia="zh-CN"/>
        </w:rPr>
        <w:t>144</w:t>
      </w:r>
      <w:r>
        <w:rPr>
          <w:rFonts w:hint="eastAsia"/>
          <w:lang w:val="en-US" w:eastAsia="zh-CN"/>
        </w:rPr>
        <w:t>Nd比值相近，</w:t>
      </w:r>
      <w:r>
        <w:rPr>
          <w:rFonts w:hint="default" w:ascii="Times New Roman" w:hAnsi="Times New Roman" w:cs="Times New Roman"/>
          <w:lang w:val="en-US" w:eastAsia="zh-CN"/>
        </w:rPr>
        <w:t>εNd(t)变</w:t>
      </w:r>
      <w:r>
        <w:rPr>
          <w:rFonts w:hint="eastAsia"/>
          <w:lang w:val="en-US" w:eastAsia="zh-CN"/>
        </w:rPr>
        <w:t>化大，指示其源区位亏损地幔源区，为岛弧成因提供了证据。</w:t>
      </w:r>
    </w:p>
    <w:p w14:paraId="6180DE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5" w:beforeLines="50" w:after="165" w:afterLines="50" w:line="300" w:lineRule="auto"/>
        <w:ind w:left="0" w:leftChars="0" w:firstLine="0" w:firstLineChars="0"/>
        <w:jc w:val="lef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3.2  岩石成因论</w:t>
      </w:r>
    </w:p>
    <w:p w14:paraId="0935681E">
      <w:pPr>
        <w:ind w:left="0" w:leftChars="0" w:firstLine="480" w:firstLineChars="200"/>
        <w:jc w:val="both"/>
        <w:rPr>
          <w:rFonts w:hint="eastAsia"/>
        </w:rPr>
      </w:pPr>
      <w:r>
        <w:rPr>
          <w:rFonts w:hint="eastAsia"/>
          <w:lang w:val="en-US" w:eastAsia="zh-CN"/>
        </w:rPr>
        <w:t>1）</w:t>
      </w:r>
      <w:r>
        <w:rPr>
          <w:rFonts w:hint="eastAsia"/>
        </w:rPr>
        <w:t>部分熔融</w:t>
      </w:r>
    </w:p>
    <w:p w14:paraId="291596F3">
      <w:pPr>
        <w:jc w:val="both"/>
        <w:rPr>
          <w:rFonts w:hint="eastAsia" w:eastAsia="宋体"/>
          <w:lang w:val="en-US" w:eastAsia="zh-CN"/>
        </w:rPr>
      </w:pPr>
      <w:r>
        <w:rPr>
          <w:rFonts w:hint="eastAsia"/>
        </w:rPr>
        <w:t>乌孙山玄武岩经历</w:t>
      </w:r>
      <w:r>
        <w:rPr>
          <w:rFonts w:hint="eastAsia"/>
          <w:lang w:eastAsia="zh-CN"/>
        </w:rPr>
        <w:t>了</w:t>
      </w:r>
      <w:r>
        <w:rPr>
          <w:rFonts w:hint="eastAsia"/>
        </w:rPr>
        <w:t>部分熔融</w:t>
      </w:r>
      <w:r>
        <w:rPr>
          <w:rFonts w:hint="eastAsia"/>
          <w:lang w:val="en-US" w:eastAsia="zh-CN"/>
        </w:rPr>
        <w:t>与</w:t>
      </w:r>
      <w:r>
        <w:rPr>
          <w:rFonts w:hint="eastAsia"/>
        </w:rPr>
        <w:t>快速冷却</w:t>
      </w:r>
      <w:r>
        <w:rPr>
          <w:rFonts w:hint="eastAsia"/>
          <w:lang w:val="en-US" w:eastAsia="zh-CN"/>
        </w:rPr>
        <w:t>过程</w:t>
      </w:r>
      <w:r>
        <w:rPr>
          <w:rFonts w:hint="eastAsia"/>
        </w:rPr>
        <w:t>，由埃达克岩浆交代地幔楔，</w:t>
      </w:r>
      <w:r>
        <w:rPr>
          <w:rFonts w:hint="eastAsia"/>
          <w:lang w:val="en-US" w:eastAsia="zh-CN"/>
        </w:rPr>
        <w:t>经</w:t>
      </w:r>
      <w:r>
        <w:rPr>
          <w:rFonts w:hint="eastAsia"/>
        </w:rPr>
        <w:t>低程度（5</w:t>
      </w:r>
      <w:r>
        <w:rPr>
          <w:rFonts w:cs="Times New Roman"/>
          <w:lang w:bidi="ar"/>
        </w:rPr>
        <w:t>~</w:t>
      </w:r>
      <w:r>
        <w:rPr>
          <w:rFonts w:hint="eastAsia"/>
        </w:rPr>
        <w:t>8%）熔融形成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图3.3a</w:t>
      </w:r>
      <w:r>
        <w:rPr>
          <w:rFonts w:hint="eastAsia"/>
          <w:lang w:eastAsia="zh-CN"/>
        </w:rPr>
        <w:t>）。</w:t>
      </w:r>
    </w:p>
    <w:p w14:paraId="6FDCE47E">
      <w:pPr>
        <w:numPr>
          <w:ilvl w:val="0"/>
          <w:numId w:val="0"/>
        </w:numPr>
        <w:ind w:firstLine="480" w:firstLineChars="200"/>
        <w:jc w:val="both"/>
        <w:rPr>
          <w:rFonts w:hint="eastAsia"/>
        </w:rPr>
      </w:pPr>
      <w:r>
        <w:rPr>
          <w:rFonts w:hint="eastAsia"/>
          <w:lang w:val="en-US" w:eastAsia="zh-CN"/>
        </w:rPr>
        <w:t>2）</w:t>
      </w:r>
      <w:r>
        <w:rPr>
          <w:rFonts w:hint="eastAsia"/>
        </w:rPr>
        <w:t>结晶分异</w:t>
      </w:r>
    </w:p>
    <w:p w14:paraId="54B9C963">
      <w:pPr>
        <w:numPr>
          <w:ilvl w:val="0"/>
          <w:numId w:val="0"/>
        </w:numPr>
        <w:ind w:firstLine="480" w:firstLineChars="200"/>
        <w:jc w:val="both"/>
        <w:rPr>
          <w:rFonts w:hint="eastAsia"/>
        </w:rPr>
      </w:pPr>
      <w:r>
        <w:rPr>
          <w:rFonts w:hint="eastAsia"/>
        </w:rPr>
        <w:t>橄榄石斑晶少，结晶分异不彻底，稀土分馏特征及元素相关性反映岩浆演化和源区属性。</w:t>
      </w:r>
    </w:p>
    <w:p w14:paraId="0C9D9FA0">
      <w:pPr>
        <w:jc w:val="both"/>
        <w:rPr>
          <w:rFonts w:hint="eastAsia"/>
        </w:rPr>
      </w:pPr>
      <w:r>
        <w:rPr>
          <w:rFonts w:hint="eastAsia"/>
          <w:lang w:val="en-US" w:eastAsia="zh-CN"/>
        </w:rPr>
        <w:t>3）</w:t>
      </w:r>
      <w:r>
        <w:rPr>
          <w:rFonts w:hint="eastAsia"/>
        </w:rPr>
        <w:t>同化混染作用</w:t>
      </w:r>
    </w:p>
    <w:p w14:paraId="4BFADA5F">
      <w:pPr>
        <w:numPr>
          <w:ilvl w:val="0"/>
          <w:numId w:val="0"/>
        </w:numPr>
        <w:ind w:firstLine="480" w:firstLineChars="200"/>
        <w:jc w:val="both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结合Sr-Nd同位素（表3.1）、LILE与MgO相关性和岩样层位图（图3.3b）综合判断，</w:t>
      </w:r>
      <w:r>
        <w:rPr>
          <w:rFonts w:hint="eastAsia"/>
        </w:rPr>
        <w:t>岩浆</w:t>
      </w:r>
      <w:r>
        <w:rPr>
          <w:rFonts w:hint="eastAsia"/>
          <w:lang w:val="en-US" w:eastAsia="zh-CN"/>
        </w:rPr>
        <w:t>是</w:t>
      </w:r>
      <w:r>
        <w:rPr>
          <w:rFonts w:hint="eastAsia"/>
        </w:rPr>
        <w:t>源于亏损地幔，经历</w:t>
      </w:r>
      <w:r>
        <w:rPr>
          <w:rFonts w:hint="eastAsia"/>
          <w:lang w:eastAsia="zh-CN"/>
        </w:rPr>
        <w:t>了</w:t>
      </w:r>
      <w:r>
        <w:rPr>
          <w:rFonts w:hint="eastAsia"/>
        </w:rPr>
        <w:t>中等程度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地壳混染，</w:t>
      </w:r>
      <w:r>
        <w:rPr>
          <w:rFonts w:hint="eastAsia"/>
          <w:lang w:val="en-US" w:eastAsia="zh-CN"/>
        </w:rPr>
        <w:t>且</w:t>
      </w:r>
      <w:r>
        <w:rPr>
          <w:rFonts w:hint="eastAsia"/>
        </w:rPr>
        <w:t>下地壳影响</w:t>
      </w:r>
      <w:r>
        <w:rPr>
          <w:rFonts w:hint="eastAsia"/>
          <w:lang w:val="en-US" w:eastAsia="zh-CN"/>
        </w:rPr>
        <w:t>更为显著</w:t>
      </w:r>
      <w:r>
        <w:rPr>
          <w:rFonts w:hint="eastAsia"/>
          <w:lang w:eastAsia="zh-CN"/>
        </w:rPr>
        <w:t>。</w:t>
      </w:r>
    </w:p>
    <w:p w14:paraId="4B95BAF1">
      <w:pPr>
        <w:numPr>
          <w:ilvl w:val="0"/>
          <w:numId w:val="0"/>
        </w:numPr>
        <w:ind w:firstLine="480" w:firstLineChars="200"/>
        <w:jc w:val="both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4）</w:t>
      </w:r>
      <w:r>
        <w:rPr>
          <w:rFonts w:hint="eastAsia"/>
          <w:lang w:eastAsia="zh-CN"/>
        </w:rPr>
        <w:t>源区特征和Nb-Ta分异</w:t>
      </w:r>
    </w:p>
    <w:p w14:paraId="24A330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85" w:afterLines="100"/>
        <w:ind w:firstLine="480"/>
        <w:jc w:val="both"/>
        <w:textAlignment w:val="auto"/>
        <w:outlineLvl w:val="2"/>
        <w:rPr>
          <w:rFonts w:hint="eastAsia"/>
          <w:lang w:eastAsia="zh-CN"/>
        </w:rPr>
      </w:pPr>
      <w:r>
        <w:rPr>
          <w:rFonts w:hint="eastAsia"/>
          <w:lang w:eastAsia="zh-CN"/>
        </w:rPr>
        <w:t>岩浆源区为EM</w:t>
      </w:r>
      <w:r>
        <w:rPr>
          <w:rFonts w:hint="eastAsia"/>
          <w:vertAlign w:val="subscript"/>
          <w:lang w:eastAsia="zh-CN"/>
        </w:rPr>
        <w:t>1</w:t>
      </w:r>
      <w:r>
        <w:rPr>
          <w:rFonts w:hint="eastAsia"/>
          <w:lang w:eastAsia="zh-CN"/>
        </w:rPr>
        <w:t>型亏损地幔</w:t>
      </w:r>
      <w:r>
        <w:rPr>
          <w:rFonts w:hint="eastAsia"/>
          <w:lang w:val="en-US" w:eastAsia="zh-CN"/>
        </w:rPr>
        <w:t>的岛弧玄武岩和大陆玄武岩</w:t>
      </w:r>
      <w:r>
        <w:rPr>
          <w:rFonts w:hint="eastAsia"/>
          <w:lang w:eastAsia="zh-CN"/>
        </w:rPr>
        <w:t>，Nb-Ta分异受源区矿物、熔融、结晶、混染等多因素影响（</w:t>
      </w:r>
      <w:r>
        <w:rPr>
          <w:rFonts w:hint="eastAsia"/>
          <w:lang w:val="en-US" w:eastAsia="zh-CN"/>
        </w:rPr>
        <w:t>图3.2</w:t>
      </w:r>
      <w:r>
        <w:rPr>
          <w:rFonts w:hint="eastAsia"/>
          <w:lang w:eastAsia="zh-CN"/>
        </w:rPr>
        <w:t>）。</w:t>
      </w:r>
    </w:p>
    <w:p w14:paraId="658551A1">
      <w:pPr>
        <w:pStyle w:val="9"/>
        <w:spacing w:line="240" w:lineRule="auto"/>
        <w:ind w:firstLine="422"/>
        <w:jc w:val="center"/>
        <w:rPr>
          <w:rFonts w:ascii="Times New Roman" w:hAnsi="Times New Roman" w:cs="Times New Roman"/>
          <w:lang w:bidi="ar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 xml:space="preserve">表3.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 w:bidi="ar"/>
        </w:rPr>
        <w:t>1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 xml:space="preserve">  乌孙山地区富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bidi="ar"/>
        </w:rPr>
        <w:t>Nb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>玄武岩的3个Sr-Nd同位素组成</w:t>
      </w:r>
    </w:p>
    <w:tbl>
      <w:tblPr>
        <w:tblStyle w:val="21"/>
        <w:tblpPr w:leftFromText="180" w:rightFromText="180" w:vertAnchor="text" w:horzAnchor="margin" w:tblpXSpec="center" w:tblpY="182"/>
        <w:tblOverlap w:val="never"/>
        <w:tblW w:w="5906" w:type="pct"/>
        <w:jc w:val="center"/>
        <w:tblBorders>
          <w:top w:val="single" w:color="auto" w:sz="18" w:space="0"/>
          <w:left w:val="none" w:color="auto" w:sz="4" w:space="0"/>
          <w:bottom w:val="single" w:color="auto" w:sz="18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9"/>
        <w:gridCol w:w="1002"/>
        <w:gridCol w:w="1003"/>
        <w:gridCol w:w="933"/>
        <w:gridCol w:w="1254"/>
        <w:gridCol w:w="1227"/>
        <w:gridCol w:w="1161"/>
        <w:gridCol w:w="1054"/>
        <w:gridCol w:w="1442"/>
        <w:gridCol w:w="901"/>
      </w:tblGrid>
      <w:tr w14:paraId="6338F8BD">
        <w:tblPrEx>
          <w:tblBorders>
            <w:top w:val="single" w:color="auto" w:sz="18" w:space="0"/>
            <w:left w:val="none" w:color="auto" w:sz="4" w:space="0"/>
            <w:bottom w:val="single" w:color="auto" w:sz="18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10" w:type="pct"/>
            <w:tcBorders>
              <w:top w:val="single" w:color="000000" w:sz="12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469982C0">
            <w:pPr>
              <w:spacing w:line="240" w:lineRule="auto"/>
              <w:ind w:firstLine="0" w:firstLineChars="0"/>
              <w:jc w:val="center"/>
              <w:rPr>
                <w:rFonts w:hint="eastAsia" w:eastAsia="宋体" w:cs="Times New Roman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18"/>
                <w:szCs w:val="18"/>
              </w:rPr>
              <w:t>岩</w:t>
            </w:r>
            <w:r>
              <w:rPr>
                <w:rFonts w:hint="eastAsia" w:cs="Times New Roman"/>
                <w:b w:val="0"/>
                <w:bCs w:val="0"/>
                <w:sz w:val="18"/>
                <w:szCs w:val="18"/>
                <w:lang w:val="en-US" w:eastAsia="zh-CN"/>
              </w:rPr>
              <w:t>样</w:t>
            </w:r>
          </w:p>
        </w:tc>
        <w:tc>
          <w:tcPr>
            <w:tcW w:w="471" w:type="pct"/>
            <w:tcBorders>
              <w:top w:val="single" w:color="000000" w:sz="12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0A39E3DC">
            <w:pPr>
              <w:spacing w:line="240" w:lineRule="auto"/>
              <w:ind w:firstLine="0" w:firstLineChars="0"/>
              <w:jc w:val="center"/>
              <w:rPr>
                <w:rFonts w:cs="Times New Roman"/>
                <w:b w:val="0"/>
                <w:bCs w:val="0"/>
                <w:sz w:val="18"/>
                <w:szCs w:val="18"/>
              </w:rPr>
            </w:pPr>
            <w:r>
              <w:rPr>
                <w:rFonts w:cs="Times New Roman"/>
                <w:b w:val="0"/>
                <w:bCs w:val="0"/>
                <w:sz w:val="18"/>
                <w:szCs w:val="18"/>
                <w:vertAlign w:val="superscript"/>
                <w:lang w:bidi="ar"/>
              </w:rPr>
              <w:t>87</w:t>
            </w:r>
            <w:r>
              <w:rPr>
                <w:rFonts w:cs="Times New Roman"/>
                <w:b w:val="0"/>
                <w:bCs w:val="0"/>
                <w:sz w:val="18"/>
                <w:szCs w:val="18"/>
                <w:lang w:bidi="ar"/>
              </w:rPr>
              <w:t>Rb/</w:t>
            </w:r>
            <w:r>
              <w:rPr>
                <w:rFonts w:cs="Times New Roman"/>
                <w:b w:val="0"/>
                <w:bCs w:val="0"/>
                <w:sz w:val="18"/>
                <w:szCs w:val="18"/>
                <w:vertAlign w:val="superscript"/>
                <w:lang w:bidi="ar"/>
              </w:rPr>
              <w:t>86</w:t>
            </w:r>
            <w:r>
              <w:rPr>
                <w:rFonts w:cs="Times New Roman"/>
                <w:b w:val="0"/>
                <w:bCs w:val="0"/>
                <w:sz w:val="18"/>
                <w:szCs w:val="18"/>
                <w:lang w:bidi="ar"/>
              </w:rPr>
              <w:t>Sr</w:t>
            </w:r>
          </w:p>
        </w:tc>
        <w:tc>
          <w:tcPr>
            <w:tcW w:w="471" w:type="pct"/>
            <w:tcBorders>
              <w:top w:val="single" w:color="000000" w:sz="12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69E715CF">
            <w:pPr>
              <w:spacing w:line="240" w:lineRule="auto"/>
              <w:ind w:firstLine="0" w:firstLineChars="0"/>
              <w:jc w:val="center"/>
              <w:rPr>
                <w:rFonts w:cs="Times New Roman"/>
                <w:b w:val="0"/>
                <w:bCs w:val="0"/>
                <w:sz w:val="18"/>
                <w:szCs w:val="18"/>
              </w:rPr>
            </w:pPr>
            <w:r>
              <w:rPr>
                <w:rFonts w:cs="Times New Roman"/>
                <w:b w:val="0"/>
                <w:bCs w:val="0"/>
                <w:sz w:val="18"/>
                <w:szCs w:val="18"/>
                <w:vertAlign w:val="superscript"/>
                <w:lang w:bidi="ar"/>
              </w:rPr>
              <w:t>87</w:t>
            </w:r>
            <w:r>
              <w:rPr>
                <w:rFonts w:cs="Times New Roman"/>
                <w:b w:val="0"/>
                <w:bCs w:val="0"/>
                <w:sz w:val="18"/>
                <w:szCs w:val="18"/>
                <w:lang w:bidi="ar"/>
              </w:rPr>
              <w:t>Sr/</w:t>
            </w:r>
            <w:r>
              <w:rPr>
                <w:rFonts w:cs="Times New Roman"/>
                <w:b w:val="0"/>
                <w:bCs w:val="0"/>
                <w:sz w:val="18"/>
                <w:szCs w:val="18"/>
                <w:vertAlign w:val="superscript"/>
                <w:lang w:bidi="ar"/>
              </w:rPr>
              <w:t>86</w:t>
            </w:r>
            <w:r>
              <w:rPr>
                <w:rFonts w:cs="Times New Roman"/>
                <w:b w:val="0"/>
                <w:bCs w:val="0"/>
                <w:sz w:val="18"/>
                <w:szCs w:val="18"/>
                <w:lang w:bidi="ar"/>
              </w:rPr>
              <w:t>Sr</w:t>
            </w:r>
          </w:p>
        </w:tc>
        <w:tc>
          <w:tcPr>
            <w:tcW w:w="438" w:type="pct"/>
            <w:tcBorders>
              <w:top w:val="single" w:color="000000" w:sz="12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613C8A74">
            <w:pPr>
              <w:spacing w:line="240" w:lineRule="auto"/>
              <w:ind w:firstLine="0" w:firstLineChars="0"/>
              <w:jc w:val="center"/>
              <w:rPr>
                <w:rFonts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eastAsia" w:cs="Times New Roman"/>
                <w:b w:val="0"/>
                <w:bCs w:val="0"/>
                <w:sz w:val="18"/>
                <w:szCs w:val="18"/>
                <w:lang w:bidi="ar"/>
              </w:rPr>
              <w:t>±</w:t>
            </w:r>
            <w:r>
              <w:rPr>
                <w:rFonts w:cs="Times New Roman"/>
                <w:b w:val="0"/>
                <w:bCs w:val="0"/>
                <w:sz w:val="18"/>
                <w:szCs w:val="18"/>
                <w:lang w:bidi="ar"/>
              </w:rPr>
              <w:t>2σ</w:t>
            </w:r>
          </w:p>
        </w:tc>
        <w:tc>
          <w:tcPr>
            <w:tcW w:w="589" w:type="pct"/>
            <w:tcBorders>
              <w:top w:val="single" w:color="000000" w:sz="12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6A985F53">
            <w:pPr>
              <w:spacing w:line="240" w:lineRule="auto"/>
              <w:ind w:firstLine="0" w:firstLineChars="0"/>
              <w:jc w:val="center"/>
              <w:rPr>
                <w:rFonts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eastAsia" w:cs="Times New Roman"/>
                <w:b w:val="0"/>
                <w:bCs w:val="0"/>
                <w:sz w:val="18"/>
                <w:szCs w:val="18"/>
                <w:lang w:bidi="ar"/>
              </w:rPr>
              <w:t>（</w:t>
            </w:r>
            <w:r>
              <w:rPr>
                <w:rFonts w:cs="Times New Roman"/>
                <w:b w:val="0"/>
                <w:bCs w:val="0"/>
                <w:sz w:val="18"/>
                <w:szCs w:val="18"/>
                <w:vertAlign w:val="superscript"/>
                <w:lang w:bidi="ar"/>
              </w:rPr>
              <w:t>87</w:t>
            </w:r>
            <w:r>
              <w:rPr>
                <w:rFonts w:cs="Times New Roman"/>
                <w:b w:val="0"/>
                <w:bCs w:val="0"/>
                <w:sz w:val="18"/>
                <w:szCs w:val="18"/>
                <w:lang w:bidi="ar"/>
              </w:rPr>
              <w:t>Sr/</w:t>
            </w:r>
            <w:r>
              <w:rPr>
                <w:rFonts w:cs="Times New Roman"/>
                <w:b w:val="0"/>
                <w:bCs w:val="0"/>
                <w:sz w:val="18"/>
                <w:szCs w:val="18"/>
                <w:vertAlign w:val="superscript"/>
                <w:lang w:bidi="ar"/>
              </w:rPr>
              <w:t>86</w:t>
            </w:r>
            <w:r>
              <w:rPr>
                <w:rFonts w:cs="Times New Roman"/>
                <w:b w:val="0"/>
                <w:bCs w:val="0"/>
                <w:sz w:val="18"/>
                <w:szCs w:val="18"/>
                <w:lang w:bidi="ar"/>
              </w:rPr>
              <w:t>Sr</w:t>
            </w:r>
            <w:r>
              <w:rPr>
                <w:rFonts w:hint="eastAsia" w:cs="Times New Roman"/>
                <w:b w:val="0"/>
                <w:bCs w:val="0"/>
                <w:sz w:val="18"/>
                <w:szCs w:val="18"/>
                <w:lang w:bidi="ar"/>
              </w:rPr>
              <w:t>）</w:t>
            </w:r>
            <w:r>
              <w:rPr>
                <w:rFonts w:cs="Times New Roman"/>
                <w:b w:val="0"/>
                <w:bCs w:val="0"/>
                <w:sz w:val="18"/>
                <w:szCs w:val="18"/>
                <w:vertAlign w:val="subscript"/>
                <w:lang w:bidi="ar"/>
              </w:rPr>
              <w:t>i</w:t>
            </w:r>
          </w:p>
        </w:tc>
        <w:tc>
          <w:tcPr>
            <w:tcW w:w="576" w:type="pct"/>
            <w:tcBorders>
              <w:top w:val="single" w:color="000000" w:sz="12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728DF586">
            <w:pPr>
              <w:spacing w:line="240" w:lineRule="auto"/>
              <w:ind w:firstLine="0" w:firstLineChars="0"/>
              <w:jc w:val="center"/>
              <w:rPr>
                <w:rFonts w:cs="Times New Roman"/>
                <w:b w:val="0"/>
                <w:bCs w:val="0"/>
                <w:sz w:val="18"/>
                <w:szCs w:val="18"/>
              </w:rPr>
            </w:pPr>
            <w:r>
              <w:rPr>
                <w:rFonts w:cs="Times New Roman"/>
                <w:b w:val="0"/>
                <w:bCs w:val="0"/>
                <w:sz w:val="18"/>
                <w:szCs w:val="18"/>
                <w:vertAlign w:val="superscript"/>
                <w:lang w:bidi="ar"/>
              </w:rPr>
              <w:t>147</w:t>
            </w:r>
            <w:r>
              <w:rPr>
                <w:rFonts w:cs="Times New Roman"/>
                <w:b w:val="0"/>
                <w:bCs w:val="0"/>
                <w:sz w:val="18"/>
                <w:szCs w:val="18"/>
                <w:lang w:bidi="ar"/>
              </w:rPr>
              <w:t>Sm/</w:t>
            </w:r>
            <w:r>
              <w:rPr>
                <w:rFonts w:cs="Times New Roman"/>
                <w:b w:val="0"/>
                <w:bCs w:val="0"/>
                <w:sz w:val="18"/>
                <w:szCs w:val="18"/>
                <w:vertAlign w:val="superscript"/>
                <w:lang w:bidi="ar"/>
              </w:rPr>
              <w:t>144</w:t>
            </w:r>
            <w:r>
              <w:rPr>
                <w:rFonts w:cs="Times New Roman"/>
                <w:b w:val="0"/>
                <w:bCs w:val="0"/>
                <w:sz w:val="18"/>
                <w:szCs w:val="18"/>
                <w:lang w:bidi="ar"/>
              </w:rPr>
              <w:t>Nd</w:t>
            </w:r>
          </w:p>
        </w:tc>
        <w:tc>
          <w:tcPr>
            <w:tcW w:w="545" w:type="pct"/>
            <w:tcBorders>
              <w:top w:val="single" w:color="000000" w:sz="12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4B1117FB">
            <w:pPr>
              <w:spacing w:line="240" w:lineRule="auto"/>
              <w:ind w:firstLine="0" w:firstLineChars="0"/>
              <w:jc w:val="center"/>
              <w:rPr>
                <w:rFonts w:cs="Times New Roman"/>
                <w:b w:val="0"/>
                <w:bCs w:val="0"/>
                <w:sz w:val="18"/>
                <w:szCs w:val="18"/>
              </w:rPr>
            </w:pPr>
            <w:r>
              <w:rPr>
                <w:rFonts w:cs="Times New Roman"/>
                <w:b w:val="0"/>
                <w:bCs w:val="0"/>
                <w:sz w:val="18"/>
                <w:szCs w:val="18"/>
                <w:vertAlign w:val="superscript"/>
                <w:lang w:bidi="ar"/>
              </w:rPr>
              <w:t>143</w:t>
            </w:r>
            <w:r>
              <w:rPr>
                <w:rFonts w:cs="Times New Roman"/>
                <w:b w:val="0"/>
                <w:bCs w:val="0"/>
                <w:sz w:val="18"/>
                <w:szCs w:val="18"/>
                <w:lang w:bidi="ar"/>
              </w:rPr>
              <w:t>Nd/</w:t>
            </w:r>
            <w:r>
              <w:rPr>
                <w:rFonts w:cs="Times New Roman"/>
                <w:b w:val="0"/>
                <w:bCs w:val="0"/>
                <w:sz w:val="18"/>
                <w:szCs w:val="18"/>
                <w:vertAlign w:val="superscript"/>
                <w:lang w:bidi="ar"/>
              </w:rPr>
              <w:t>144</w:t>
            </w:r>
            <w:r>
              <w:rPr>
                <w:rFonts w:cs="Times New Roman"/>
                <w:b w:val="0"/>
                <w:bCs w:val="0"/>
                <w:sz w:val="18"/>
                <w:szCs w:val="18"/>
                <w:lang w:bidi="ar"/>
              </w:rPr>
              <w:t>Nd</w:t>
            </w:r>
          </w:p>
        </w:tc>
        <w:tc>
          <w:tcPr>
            <w:tcW w:w="495" w:type="pct"/>
            <w:tcBorders>
              <w:top w:val="single" w:color="000000" w:sz="12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69D1CD3A">
            <w:pPr>
              <w:spacing w:line="240" w:lineRule="auto"/>
              <w:ind w:firstLine="0" w:firstLineChars="0"/>
              <w:jc w:val="center"/>
              <w:rPr>
                <w:rFonts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eastAsia" w:cs="Times New Roman"/>
                <w:b w:val="0"/>
                <w:bCs w:val="0"/>
                <w:sz w:val="18"/>
                <w:szCs w:val="18"/>
                <w:lang w:bidi="ar"/>
              </w:rPr>
              <w:t>±</w:t>
            </w:r>
            <w:r>
              <w:rPr>
                <w:rFonts w:cs="Times New Roman"/>
                <w:b w:val="0"/>
                <w:bCs w:val="0"/>
                <w:sz w:val="18"/>
                <w:szCs w:val="18"/>
                <w:lang w:bidi="ar"/>
              </w:rPr>
              <w:t>2σ</w:t>
            </w:r>
          </w:p>
        </w:tc>
        <w:tc>
          <w:tcPr>
            <w:tcW w:w="677" w:type="pct"/>
            <w:tcBorders>
              <w:top w:val="single" w:color="000000" w:sz="12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30BB0A21">
            <w:pPr>
              <w:spacing w:line="240" w:lineRule="auto"/>
              <w:ind w:firstLine="0" w:firstLineChars="0"/>
              <w:jc w:val="center"/>
              <w:rPr>
                <w:rFonts w:cs="Times New Roman"/>
                <w:b w:val="0"/>
                <w:bCs w:val="0"/>
                <w:sz w:val="18"/>
                <w:szCs w:val="18"/>
              </w:rPr>
            </w:pPr>
            <w:r>
              <w:rPr>
                <w:rFonts w:hint="eastAsia" w:cs="Times New Roman"/>
                <w:b w:val="0"/>
                <w:bCs w:val="0"/>
                <w:sz w:val="18"/>
                <w:szCs w:val="18"/>
                <w:lang w:bidi="ar"/>
              </w:rPr>
              <w:t>（</w:t>
            </w:r>
            <w:r>
              <w:rPr>
                <w:rFonts w:cs="Times New Roman"/>
                <w:b w:val="0"/>
                <w:bCs w:val="0"/>
                <w:sz w:val="18"/>
                <w:szCs w:val="18"/>
                <w:vertAlign w:val="superscript"/>
                <w:lang w:bidi="ar"/>
              </w:rPr>
              <w:t>143</w:t>
            </w:r>
            <w:r>
              <w:rPr>
                <w:rFonts w:cs="Times New Roman"/>
                <w:b w:val="0"/>
                <w:bCs w:val="0"/>
                <w:sz w:val="18"/>
                <w:szCs w:val="18"/>
                <w:lang w:bidi="ar"/>
              </w:rPr>
              <w:t>Nd/</w:t>
            </w:r>
            <w:r>
              <w:rPr>
                <w:rFonts w:cs="Times New Roman"/>
                <w:b w:val="0"/>
                <w:bCs w:val="0"/>
                <w:sz w:val="18"/>
                <w:szCs w:val="18"/>
                <w:vertAlign w:val="superscript"/>
                <w:lang w:bidi="ar"/>
              </w:rPr>
              <w:t>144</w:t>
            </w:r>
            <w:r>
              <w:rPr>
                <w:rFonts w:cs="Times New Roman"/>
                <w:b w:val="0"/>
                <w:bCs w:val="0"/>
                <w:sz w:val="18"/>
                <w:szCs w:val="18"/>
                <w:lang w:bidi="ar"/>
              </w:rPr>
              <w:t>Nd</w:t>
            </w:r>
            <w:r>
              <w:rPr>
                <w:rFonts w:hint="eastAsia" w:cs="Times New Roman"/>
                <w:b w:val="0"/>
                <w:bCs w:val="0"/>
                <w:sz w:val="18"/>
                <w:szCs w:val="18"/>
                <w:lang w:bidi="ar"/>
              </w:rPr>
              <w:t>）</w:t>
            </w:r>
            <w:r>
              <w:rPr>
                <w:rFonts w:cs="Times New Roman"/>
                <w:b w:val="0"/>
                <w:bCs w:val="0"/>
                <w:sz w:val="18"/>
                <w:szCs w:val="18"/>
                <w:vertAlign w:val="subscript"/>
                <w:lang w:bidi="ar"/>
              </w:rPr>
              <w:t>i</w:t>
            </w:r>
          </w:p>
        </w:tc>
        <w:tc>
          <w:tcPr>
            <w:tcW w:w="423" w:type="pct"/>
            <w:tcBorders>
              <w:top w:val="single" w:color="000000" w:sz="12" w:space="0"/>
              <w:left w:val="nil"/>
              <w:bottom w:val="single" w:color="auto" w:sz="4" w:space="0"/>
              <w:right w:val="nil"/>
            </w:tcBorders>
            <w:shd w:val="clear" w:color="auto" w:fill="auto"/>
          </w:tcPr>
          <w:p w14:paraId="12806896">
            <w:pPr>
              <w:spacing w:line="240" w:lineRule="auto"/>
              <w:ind w:firstLine="0" w:firstLineChars="0"/>
              <w:jc w:val="center"/>
              <w:rPr>
                <w:rFonts w:cs="Times New Roman"/>
                <w:b w:val="0"/>
                <w:bCs w:val="0"/>
                <w:sz w:val="18"/>
                <w:szCs w:val="18"/>
              </w:rPr>
            </w:pPr>
            <w:r>
              <w:rPr>
                <w:rFonts w:cs="Times New Roman"/>
                <w:b w:val="0"/>
                <w:bCs w:val="0"/>
                <w:sz w:val="18"/>
                <w:szCs w:val="18"/>
                <w:lang w:bidi="ar"/>
              </w:rPr>
              <w:t>εN</w:t>
            </w:r>
            <w:r>
              <w:rPr>
                <w:rFonts w:hint="eastAsia" w:cs="Times New Roman"/>
                <w:b w:val="0"/>
                <w:bCs w:val="0"/>
                <w:sz w:val="18"/>
                <w:szCs w:val="18"/>
                <w:lang w:bidi="ar"/>
              </w:rPr>
              <w:t>d</w:t>
            </w:r>
          </w:p>
        </w:tc>
      </w:tr>
      <w:tr w14:paraId="0C748BD8">
        <w:tblPrEx>
          <w:tblBorders>
            <w:top w:val="single" w:color="auto" w:sz="18" w:space="0"/>
            <w:left w:val="none" w:color="auto" w:sz="4" w:space="0"/>
            <w:bottom w:val="single" w:color="auto" w:sz="18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310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 w14:paraId="1BAB57FC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W</w:t>
            </w:r>
            <w:r>
              <w:rPr>
                <w:rFonts w:cs="Times New Roman"/>
                <w:sz w:val="18"/>
                <w:szCs w:val="18"/>
                <w:vertAlign w:val="subscript"/>
                <w:lang w:bidi="ar"/>
              </w:rPr>
              <w:t>5</w:t>
            </w:r>
          </w:p>
        </w:tc>
        <w:tc>
          <w:tcPr>
            <w:tcW w:w="47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 w14:paraId="175B128D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0.054118</w:t>
            </w:r>
          </w:p>
        </w:tc>
        <w:tc>
          <w:tcPr>
            <w:tcW w:w="47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 w14:paraId="1BE360F3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0.704842</w:t>
            </w:r>
          </w:p>
        </w:tc>
        <w:tc>
          <w:tcPr>
            <w:tcW w:w="43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 w14:paraId="7D0B06D1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0.000015</w:t>
            </w:r>
          </w:p>
        </w:tc>
        <w:tc>
          <w:tcPr>
            <w:tcW w:w="58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 w14:paraId="2B117723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0.70458</w:t>
            </w:r>
          </w:p>
        </w:tc>
        <w:tc>
          <w:tcPr>
            <w:tcW w:w="57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 w14:paraId="58145341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0.140110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 w14:paraId="1ECAC0C7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0.512592</w:t>
            </w:r>
          </w:p>
        </w:tc>
        <w:tc>
          <w:tcPr>
            <w:tcW w:w="495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 w14:paraId="635255CD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0.000007</w:t>
            </w:r>
          </w:p>
        </w:tc>
        <w:tc>
          <w:tcPr>
            <w:tcW w:w="67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 w14:paraId="68B28C8F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0.51228</w:t>
            </w:r>
          </w:p>
        </w:tc>
        <w:tc>
          <w:tcPr>
            <w:tcW w:w="42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</w:tcPr>
          <w:p w14:paraId="24C74A27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1.58</w:t>
            </w:r>
          </w:p>
        </w:tc>
      </w:tr>
      <w:tr w14:paraId="55203DED">
        <w:tblPrEx>
          <w:tblBorders>
            <w:top w:val="single" w:color="auto" w:sz="18" w:space="0"/>
            <w:left w:val="none" w:color="auto" w:sz="4" w:space="0"/>
            <w:bottom w:val="single" w:color="auto" w:sz="18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25907E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W</w:t>
            </w:r>
            <w:r>
              <w:rPr>
                <w:rFonts w:cs="Times New Roman"/>
                <w:sz w:val="18"/>
                <w:szCs w:val="18"/>
                <w:vertAlign w:val="subscript"/>
                <w:lang w:bidi="ar"/>
              </w:rPr>
              <w:t>14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25265D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0.039630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3D8989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0.704596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D23F1D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0.000011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CBF60E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0.70440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AB4B9B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0.129490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04EF4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0.512583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61B1B7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0.000011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EBB9D6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0.51229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450010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1.87</w:t>
            </w:r>
          </w:p>
        </w:tc>
      </w:tr>
      <w:tr w14:paraId="6A7F3018">
        <w:tblPrEx>
          <w:tblBorders>
            <w:top w:val="single" w:color="auto" w:sz="18" w:space="0"/>
            <w:left w:val="none" w:color="auto" w:sz="4" w:space="0"/>
            <w:bottom w:val="single" w:color="auto" w:sz="18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F49E50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W</w:t>
            </w:r>
            <w:r>
              <w:rPr>
                <w:rFonts w:cs="Times New Roman"/>
                <w:sz w:val="18"/>
                <w:szCs w:val="18"/>
                <w:vertAlign w:val="subscript"/>
                <w:lang w:bidi="ar"/>
              </w:rPr>
              <w:t>15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6A4E82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0.060395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52BD33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0.704708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11D8C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0.000013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83C4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0.70441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96AC14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0.134190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5445BF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0.512619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0478FE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0.000006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2827C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0.51232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74C390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2.37</w:t>
            </w:r>
          </w:p>
        </w:tc>
      </w:tr>
      <w:tr w14:paraId="1198C4D7">
        <w:tblPrEx>
          <w:tblBorders>
            <w:top w:val="single" w:color="auto" w:sz="18" w:space="0"/>
            <w:left w:val="none" w:color="auto" w:sz="4" w:space="0"/>
            <w:bottom w:val="single" w:color="auto" w:sz="18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64FF2F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W</w:t>
            </w:r>
            <w:r>
              <w:rPr>
                <w:rFonts w:cs="Times New Roman"/>
                <w:sz w:val="18"/>
                <w:szCs w:val="18"/>
                <w:vertAlign w:val="subscript"/>
                <w:lang w:bidi="ar"/>
              </w:rPr>
              <w:t>18-1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E6838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0.118312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10463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0.705381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E20DD9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0.000016</w:t>
            </w:r>
          </w:p>
        </w:tc>
        <w:tc>
          <w:tcPr>
            <w:tcW w:w="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A2D66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0.70480</w:t>
            </w:r>
          </w:p>
        </w:tc>
        <w:tc>
          <w:tcPr>
            <w:tcW w:w="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EC8DA6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0.133960</w:t>
            </w:r>
          </w:p>
        </w:tc>
        <w:tc>
          <w:tcPr>
            <w:tcW w:w="5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031336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0.512599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04ECC3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0.000009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FBCF20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0.51230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45FA1B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1.99</w:t>
            </w:r>
          </w:p>
        </w:tc>
      </w:tr>
      <w:tr w14:paraId="70BAA212">
        <w:tblPrEx>
          <w:tblBorders>
            <w:top w:val="single" w:color="auto" w:sz="18" w:space="0"/>
            <w:left w:val="none" w:color="auto" w:sz="4" w:space="0"/>
            <w:bottom w:val="single" w:color="auto" w:sz="18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310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</w:tcPr>
          <w:p w14:paraId="2CC41637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W</w:t>
            </w:r>
            <w:r>
              <w:rPr>
                <w:rFonts w:cs="Times New Roman"/>
                <w:sz w:val="18"/>
                <w:szCs w:val="18"/>
                <w:vertAlign w:val="subscript"/>
                <w:lang w:bidi="ar"/>
              </w:rPr>
              <w:t>18-2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</w:tcPr>
          <w:p w14:paraId="799518F7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0.190333</w:t>
            </w:r>
          </w:p>
        </w:tc>
        <w:tc>
          <w:tcPr>
            <w:tcW w:w="47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</w:tcPr>
          <w:p w14:paraId="67EBA587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0.705873</w:t>
            </w:r>
          </w:p>
        </w:tc>
        <w:tc>
          <w:tcPr>
            <w:tcW w:w="43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</w:tcPr>
          <w:p w14:paraId="563A182A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0.000008</w:t>
            </w:r>
          </w:p>
        </w:tc>
        <w:tc>
          <w:tcPr>
            <w:tcW w:w="589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</w:tcPr>
          <w:p w14:paraId="0DBDE139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0.70494</w:t>
            </w:r>
          </w:p>
        </w:tc>
        <w:tc>
          <w:tcPr>
            <w:tcW w:w="57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</w:tcPr>
          <w:p w14:paraId="4875F2A4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0.120310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</w:tcPr>
          <w:p w14:paraId="6FEA5A7D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0.512624</w:t>
            </w:r>
          </w:p>
        </w:tc>
        <w:tc>
          <w:tcPr>
            <w:tcW w:w="49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</w:tcPr>
          <w:p w14:paraId="0C9E503E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0.000009</w:t>
            </w:r>
          </w:p>
        </w:tc>
        <w:tc>
          <w:tcPr>
            <w:tcW w:w="67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</w:tcPr>
          <w:p w14:paraId="3079247B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0.51235</w:t>
            </w:r>
          </w:p>
        </w:tc>
        <w:tc>
          <w:tcPr>
            <w:tcW w:w="42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</w:tcPr>
          <w:p w14:paraId="327940E0">
            <w:pPr>
              <w:spacing w:line="240" w:lineRule="auto"/>
              <w:ind w:firstLine="0" w:firstLineChars="0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  <w:lang w:bidi="ar"/>
              </w:rPr>
              <w:t>3.08</w:t>
            </w:r>
          </w:p>
        </w:tc>
      </w:tr>
    </w:tbl>
    <w:p w14:paraId="162F121C">
      <w:pPr>
        <w:sectPr>
          <w:headerReference r:id="rId10" w:type="default"/>
          <w:footerReference r:id="rId12" w:type="default"/>
          <w:headerReference r:id="rId11" w:type="even"/>
          <w:pgSz w:w="11906" w:h="16838"/>
          <w:pgMar w:top="1417" w:right="1417" w:bottom="1417" w:left="1701" w:header="850" w:footer="850" w:gutter="0"/>
          <w:cols w:space="425" w:num="1"/>
          <w:formProt w:val="0"/>
          <w:docGrid w:type="lines" w:linePitch="327" w:charSpace="-2048"/>
        </w:sectPr>
      </w:pPr>
    </w:p>
    <w:p w14:paraId="34A7DC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85" w:afterLines="100"/>
        <w:ind w:firstLine="422" w:firstLineChars="200"/>
        <w:jc w:val="center"/>
        <w:textAlignment w:val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-53975</wp:posOffset>
            </wp:positionV>
            <wp:extent cx="5325110" cy="2414270"/>
            <wp:effectExtent l="0" t="0" r="8890" b="8890"/>
            <wp:wrapTopAndBottom/>
            <wp:docPr id="8" name="图片 8" descr="图4-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4-6-1"/>
                    <pic:cNvPicPr>
                      <a:picLocks noChangeAspect="1"/>
                    </pic:cNvPicPr>
                  </pic:nvPicPr>
                  <pic:blipFill>
                    <a:blip r:embed="rId19"/>
                    <a:srcRect r="1388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>图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 w:bidi="ar"/>
        </w:rPr>
        <w:t>3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 xml:space="preserve">. 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 w:bidi="ar"/>
        </w:rPr>
        <w:t>4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bidi="ar"/>
        </w:rPr>
        <w:t xml:space="preserve">  乌孙山地块富Nb玄武岩大地构造判别图</w:t>
      </w:r>
    </w:p>
    <w:p w14:paraId="1A850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5" w:beforeLines="50" w:after="165" w:afterLines="50" w:line="300" w:lineRule="auto"/>
        <w:ind w:left="0" w:leftChars="0" w:firstLine="0" w:firstLineChars="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3.3  构造环境分析及动力学机制</w:t>
      </w:r>
    </w:p>
    <w:p w14:paraId="4A9C453F">
      <w:pPr>
        <w:rPr>
          <w:rFonts w:hint="eastAsia"/>
        </w:rPr>
      </w:pPr>
      <w:r>
        <w:rPr>
          <w:rFonts w:hint="eastAsia"/>
          <w:lang w:val="en-US" w:eastAsia="zh-CN"/>
        </w:rPr>
        <w:t>1）</w:t>
      </w:r>
      <w:r>
        <w:rPr>
          <w:rFonts w:hint="eastAsia"/>
        </w:rPr>
        <w:t>构造环境判别</w:t>
      </w:r>
    </w:p>
    <w:p w14:paraId="051720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主量元素</w:t>
      </w:r>
      <w:r>
        <w:rPr>
          <w:rFonts w:hint="eastAsia"/>
          <w:lang w:val="en-US" w:eastAsia="zh-CN"/>
        </w:rPr>
        <w:t>表明其形成于</w:t>
      </w:r>
      <w:r>
        <w:rPr>
          <w:rFonts w:hint="default"/>
          <w:lang w:val="en-US" w:eastAsia="zh-CN"/>
        </w:rPr>
        <w:t>板内或伸展背景，</w:t>
      </w:r>
      <w:r>
        <w:rPr>
          <w:rFonts w:hint="eastAsia"/>
          <w:lang w:val="en-US" w:eastAsia="zh-CN"/>
        </w:rPr>
        <w:t>而</w:t>
      </w:r>
      <w:r>
        <w:rPr>
          <w:rFonts w:hint="default"/>
          <w:lang w:val="en-US" w:eastAsia="zh-CN"/>
        </w:rPr>
        <w:t>微量元素指向岛弧</w:t>
      </w:r>
      <w:r>
        <w:rPr>
          <w:rFonts w:hint="eastAsia"/>
          <w:lang w:val="en-US" w:eastAsia="zh-CN"/>
        </w:rPr>
        <w:t>环境</w:t>
      </w:r>
      <w:r>
        <w:rPr>
          <w:rFonts w:hint="default"/>
          <w:lang w:val="en-US" w:eastAsia="zh-CN"/>
        </w:rPr>
        <w:t>，综合判定其形成于岛弧到板内</w:t>
      </w:r>
      <w:r>
        <w:rPr>
          <w:rFonts w:hint="eastAsia"/>
          <w:lang w:val="en-US" w:eastAsia="zh-CN"/>
        </w:rPr>
        <w:t>的</w:t>
      </w:r>
      <w:r>
        <w:rPr>
          <w:rFonts w:hint="default"/>
          <w:lang w:val="en-US" w:eastAsia="zh-CN"/>
        </w:rPr>
        <w:t>过渡环境</w:t>
      </w:r>
      <w:r>
        <w:rPr>
          <w:rFonts w:hint="eastAsia"/>
          <w:lang w:val="en-US" w:eastAsia="zh-CN"/>
        </w:rPr>
        <w:t>（图3.4）。</w:t>
      </w:r>
    </w:p>
    <w:p w14:paraId="76309836">
      <w:pPr>
        <w:numPr>
          <w:ilvl w:val="0"/>
          <w:numId w:val="0"/>
        </w:num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</w:t>
      </w:r>
      <w:r>
        <w:rPr>
          <w:rFonts w:hint="default"/>
          <w:lang w:val="en-US" w:eastAsia="zh-CN"/>
        </w:rPr>
        <w:t>Nb富集成因及动力学演化机制</w:t>
      </w:r>
    </w:p>
    <w:p w14:paraId="1DE298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93" w:afterLines="50"/>
        <w:ind w:left="0" w:leftChars="0" w:firstLine="480" w:firstLineChars="200"/>
        <w:textAlignment w:val="auto"/>
        <w:rPr>
          <w:rFonts w:hint="eastAsia"/>
          <w:lang w:eastAsia="zh-CN"/>
        </w:rPr>
      </w:pPr>
      <w:r>
        <w:rPr>
          <w:rFonts w:hint="default"/>
          <w:lang w:val="en-US" w:eastAsia="zh-CN"/>
        </w:rPr>
        <w:t>富Nb玄武岩具弧后盆地亲和性，源于南天山板块回卷引发的伸展环境，经历</w:t>
      </w:r>
      <w:r>
        <w:rPr>
          <w:rFonts w:hint="eastAsia"/>
          <w:lang w:val="en-US" w:eastAsia="zh-CN"/>
        </w:rPr>
        <w:t>了</w:t>
      </w:r>
      <w:r>
        <w:rPr>
          <w:rFonts w:hint="default"/>
          <w:lang w:val="en-US" w:eastAsia="zh-CN"/>
        </w:rPr>
        <w:t>地幔减压熔融、软流圈上涌交代等过程，</w:t>
      </w:r>
      <w:r>
        <w:rPr>
          <w:rFonts w:hint="eastAsia"/>
          <w:lang w:val="en-US" w:eastAsia="zh-CN"/>
        </w:rPr>
        <w:t>并</w:t>
      </w:r>
      <w:r>
        <w:rPr>
          <w:rFonts w:hint="default"/>
          <w:lang w:val="en-US" w:eastAsia="zh-CN"/>
        </w:rPr>
        <w:t>受俯冲板片流体、地壳混染</w:t>
      </w:r>
      <w:r>
        <w:rPr>
          <w:rFonts w:hint="eastAsia"/>
          <w:lang w:val="en-US" w:eastAsia="zh-CN"/>
        </w:rPr>
        <w:t>的</w:t>
      </w:r>
      <w:r>
        <w:rPr>
          <w:rFonts w:hint="default"/>
          <w:lang w:val="en-US" w:eastAsia="zh-CN"/>
        </w:rPr>
        <w:t>影响，塑造</w:t>
      </w:r>
      <w:r>
        <w:rPr>
          <w:rFonts w:hint="eastAsia"/>
          <w:lang w:val="en-US" w:eastAsia="zh-CN"/>
        </w:rPr>
        <w:t>了</w:t>
      </w:r>
      <w:r>
        <w:rPr>
          <w:rFonts w:hint="default"/>
          <w:lang w:val="en-US" w:eastAsia="zh-CN"/>
        </w:rPr>
        <w:t>独特地球化学特征</w:t>
      </w:r>
      <w:r>
        <w:rPr>
          <w:rFonts w:hint="eastAsia"/>
          <w:lang w:val="en-US" w:eastAsia="zh-CN"/>
        </w:rPr>
        <w:t>（图3.5）</w:t>
      </w:r>
      <w:r>
        <w:rPr>
          <w:rFonts w:hint="default"/>
          <w:lang w:val="en-US" w:eastAsia="zh-CN"/>
        </w:rPr>
        <w:t>。</w:t>
      </w:r>
    </w:p>
    <w:p w14:paraId="52D43D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85" w:afterLines="100"/>
        <w:ind w:left="0" w:leftChars="0" w:firstLine="0" w:firstLineChars="0"/>
        <w:jc w:val="center"/>
        <w:textAlignment w:val="auto"/>
        <w:rPr>
          <w:rFonts w:hint="eastAsia"/>
          <w:lang w:val="en-US" w:eastAsia="zh-CN"/>
        </w:rPr>
      </w:pPr>
      <w:bookmarkStart w:id="0" w:name="_Toc1508"/>
      <w:bookmarkStart w:id="1" w:name="_Toc1835"/>
      <w:r>
        <w:rPr>
          <w:rFonts w:hint="eastAsia" w:cs="Times New Roman"/>
          <w:b/>
          <w:bCs/>
          <w:szCs w:val="24"/>
          <w:lang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57785</wp:posOffset>
            </wp:positionV>
            <wp:extent cx="5219700" cy="1289685"/>
            <wp:effectExtent l="0" t="0" r="7620" b="5715"/>
            <wp:wrapTopAndBottom/>
            <wp:docPr id="7" name="图片 7" descr="Fi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bCs/>
          <w:sz w:val="21"/>
          <w:szCs w:val="21"/>
          <w:lang w:bidi="ar"/>
        </w:rPr>
        <w:t>图</w:t>
      </w:r>
      <w:r>
        <w:rPr>
          <w:rFonts w:hint="eastAsia" w:cs="Times New Roman"/>
          <w:b/>
          <w:bCs/>
          <w:sz w:val="21"/>
          <w:szCs w:val="21"/>
          <w:lang w:val="en-US" w:eastAsia="zh-CN" w:bidi="ar"/>
        </w:rPr>
        <w:t>3</w:t>
      </w:r>
      <w:r>
        <w:rPr>
          <w:rFonts w:cs="Times New Roman"/>
          <w:b/>
          <w:bCs/>
          <w:sz w:val="21"/>
          <w:szCs w:val="21"/>
          <w:lang w:bidi="ar"/>
        </w:rPr>
        <w:t xml:space="preserve">. </w:t>
      </w:r>
      <w:r>
        <w:rPr>
          <w:rFonts w:hint="eastAsia" w:cs="Times New Roman"/>
          <w:b/>
          <w:bCs/>
          <w:sz w:val="21"/>
          <w:szCs w:val="21"/>
          <w:lang w:val="en-US" w:eastAsia="zh-CN" w:bidi="ar"/>
        </w:rPr>
        <w:t>5</w:t>
      </w:r>
      <w:r>
        <w:rPr>
          <w:rFonts w:cs="Times New Roman"/>
          <w:b/>
          <w:bCs/>
          <w:sz w:val="21"/>
          <w:szCs w:val="21"/>
          <w:lang w:bidi="ar"/>
        </w:rPr>
        <w:t xml:space="preserve">  伊宁西部地块早石炭纪构造演化模型</w:t>
      </w:r>
      <w:bookmarkEnd w:id="0"/>
      <w:bookmarkEnd w:id="1"/>
    </w:p>
    <w:p w14:paraId="1C46F5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93" w:beforeLines="50" w:after="193" w:afterLines="50"/>
        <w:ind w:left="0" w:leftChars="0" w:firstLine="0" w:firstLineChars="0"/>
        <w:jc w:val="left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4.  </w:t>
      </w:r>
      <w:r>
        <w:rPr>
          <w:rFonts w:hint="eastAsia"/>
          <w:b/>
          <w:bCs/>
          <w:sz w:val="28"/>
          <w:szCs w:val="28"/>
        </w:rPr>
        <w:t>研究结论</w:t>
      </w:r>
    </w:p>
    <w:p w14:paraId="75CE7F3A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乌孙山富Nb玄武岩以玄武岩和玄武安山岩为主，具间隐/间粒结构及气孔</w:t>
      </w:r>
      <w:r>
        <w:rPr>
          <w:rFonts w:hint="eastAsia" w:ascii="宋体" w:hAnsi="宋体" w:eastAsia="宋体" w:cs="宋体"/>
        </w:rPr>
        <w:t>-</w:t>
      </w:r>
      <w:r>
        <w:rPr>
          <w:rFonts w:hint="eastAsia"/>
        </w:rPr>
        <w:t>杏仁构造，主量元素低SiO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、高TiO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、富Na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O贫K</w:t>
      </w:r>
      <w:r>
        <w:rPr>
          <w:rFonts w:hint="eastAsia"/>
          <w:vertAlign w:val="subscript"/>
          <w:lang w:val="en-US" w:eastAsia="zh-CN"/>
        </w:rPr>
        <w:t>2</w:t>
      </w:r>
      <w:r>
        <w:rPr>
          <w:rFonts w:hint="eastAsia"/>
        </w:rPr>
        <w:t>O，微量元素富集Nb、Zr等HFSE，稀土配分呈LREE富集型，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具“TNT”负异常。</w:t>
      </w:r>
    </w:p>
    <w:p w14:paraId="152EA705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乌孙山富Nb玄武岩岩浆源于亏损地幔源区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受俯冲流体交代地幔楔、低程度部分熔融及石榴子石残留控制，经历结晶分异</w:t>
      </w:r>
      <w:r>
        <w:rPr>
          <w:rFonts w:hint="eastAsia" w:ascii="宋体" w:hAnsi="宋体" w:eastAsia="宋体" w:cs="宋体"/>
        </w:rPr>
        <w:t>和弱-中等强度</w:t>
      </w:r>
      <w:r>
        <w:rPr>
          <w:rFonts w:hint="eastAsia"/>
        </w:rPr>
        <w:t>地壳混染，</w:t>
      </w:r>
      <w:r>
        <w:rPr>
          <w:rFonts w:hint="eastAsia"/>
          <w:lang w:val="en-US" w:eastAsia="zh-CN"/>
        </w:rPr>
        <w:t>符合</w:t>
      </w:r>
      <w:r>
        <w:rPr>
          <w:rFonts w:hint="eastAsia"/>
        </w:rPr>
        <w:t>“俯冲流体交代</w:t>
      </w:r>
      <w:r>
        <w:rPr>
          <w:rFonts w:hint="eastAsia" w:ascii="宋体" w:hAnsi="宋体" w:eastAsia="宋体" w:cs="宋体"/>
        </w:rPr>
        <w:t>-低程度熔融-石榴子石</w:t>
      </w:r>
      <w:r>
        <w:rPr>
          <w:rFonts w:hint="eastAsia"/>
        </w:rPr>
        <w:t>残留”的Nb富集机制。</w:t>
      </w:r>
    </w:p>
    <w:p w14:paraId="34293F61">
      <w:pPr>
        <w:ind w:firstLine="480"/>
        <w:rPr>
          <w:rFonts w:hint="eastAsia"/>
        </w:rPr>
      </w:pPr>
      <w:r>
        <w:rPr>
          <w:rFonts w:hint="eastAsia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</w:rPr>
        <w:t>乌孙山富Nb玄武岩形成于岛弧向弧后伸展过渡</w:t>
      </w:r>
      <w:r>
        <w:rPr>
          <w:rFonts w:hint="eastAsia"/>
          <w:lang w:eastAsia="zh-CN"/>
        </w:rPr>
        <w:t>的</w:t>
      </w:r>
      <w:r>
        <w:rPr>
          <w:rFonts w:hint="eastAsia"/>
          <w:lang w:val="en-US" w:eastAsia="zh-CN"/>
        </w:rPr>
        <w:t>构造背景</w:t>
      </w:r>
      <w:r>
        <w:rPr>
          <w:rFonts w:hint="eastAsia"/>
        </w:rPr>
        <w:t>，动力学机制与南天山洋板块俯冲回卷引发的弧后扩张、岩石圈拆沉及软流圈上涌相关。</w:t>
      </w:r>
    </w:p>
    <w:sectPr>
      <w:footerReference r:id="rId14" w:type="default"/>
      <w:headerReference r:id="rId13" w:type="even"/>
      <w:footnotePr>
        <w:numFmt w:val="decimalEnclosedCircleChinese"/>
        <w:numRestart w:val="eachSect"/>
      </w:footnotePr>
      <w:pgSz w:w="11907" w:h="16840"/>
      <w:pgMar w:top="1418" w:right="1418" w:bottom="1418" w:left="1701" w:header="850" w:footer="850" w:gutter="0"/>
      <w:cols w:space="425" w:num="1"/>
      <w:docGrid w:linePitch="384" w:charSpace="74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265C85">
    <w:pPr>
      <w:pStyle w:val="14"/>
      <w:ind w:firstLine="0" w:firstLineChars="0"/>
      <w:jc w:val="center"/>
      <w:rPr>
        <w:sz w:val="21"/>
        <w:szCs w:val="21"/>
      </w:rPr>
    </w:pPr>
    <w:r>
      <w:rPr>
        <w:rFonts w:hint="eastAsia"/>
        <w:sz w:val="21"/>
        <w:szCs w:val="21"/>
      </w:rPr>
      <w:t>—</w:t>
    </w:r>
    <w:r>
      <w:rPr>
        <w:sz w:val="21"/>
        <w:szCs w:val="21"/>
      </w:rPr>
      <w:t xml:space="preserve"> 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PAGE   \* MERGEFORMAT</w:instrText>
    </w:r>
    <w:r>
      <w:rPr>
        <w:sz w:val="21"/>
        <w:szCs w:val="21"/>
      </w:rPr>
      <w:fldChar w:fldCharType="separate"/>
    </w:r>
    <w:r>
      <w:rPr>
        <w:sz w:val="21"/>
        <w:szCs w:val="21"/>
        <w:lang w:val="zh-CN"/>
      </w:rPr>
      <w:t>3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297AA5">
    <w:pPr>
      <w:pStyle w:val="14"/>
      <w:ind w:firstLine="0" w:firstLineChars="0"/>
      <w:jc w:val="center"/>
      <w:rPr>
        <w:sz w:val="21"/>
        <w:szCs w:val="21"/>
      </w:rPr>
    </w:pPr>
    <w:r>
      <w:rPr>
        <w:rFonts w:hint="eastAsia"/>
        <w:sz w:val="21"/>
        <w:szCs w:val="21"/>
      </w:rPr>
      <w:t>—</w:t>
    </w:r>
    <w:r>
      <w:rPr>
        <w:sz w:val="21"/>
        <w:szCs w:val="21"/>
      </w:rPr>
      <w:t xml:space="preserve"> 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PAGE   \* MERGEFORMAT</w:instrText>
    </w:r>
    <w:r>
      <w:rPr>
        <w:sz w:val="21"/>
        <w:szCs w:val="21"/>
      </w:rPr>
      <w:fldChar w:fldCharType="separate"/>
    </w:r>
    <w:r>
      <w:rPr>
        <w:sz w:val="21"/>
        <w:szCs w:val="21"/>
        <w:lang w:val="zh-CN"/>
      </w:rPr>
      <w:t>14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 xml:space="preserve"> 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C08474">
    <w:pPr>
      <w:pStyle w:val="14"/>
      <w:ind w:firstLine="0" w:firstLineChars="0"/>
      <w:jc w:val="center"/>
    </w:pPr>
    <w:r>
      <w:rPr>
        <w:rFonts w:hint="eastAsia"/>
        <w:sz w:val="21"/>
        <w:szCs w:val="21"/>
      </w:rPr>
      <w:t>—</w:t>
    </w:r>
    <w:r>
      <w:rPr>
        <w:sz w:val="21"/>
        <w:szCs w:val="21"/>
      </w:rPr>
      <w:t xml:space="preserve"> 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PAGE   \* MERGEFORMAT</w:instrText>
    </w:r>
    <w:r>
      <w:rPr>
        <w:sz w:val="21"/>
        <w:szCs w:val="21"/>
      </w:rPr>
      <w:fldChar w:fldCharType="separate"/>
    </w:r>
    <w:r>
      <w:rPr>
        <w:sz w:val="21"/>
        <w:szCs w:val="21"/>
        <w:lang w:val="zh-CN"/>
      </w:rPr>
      <w:t>13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 xml:space="preserve"> 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B5481D">
    <w:pPr>
      <w:pStyle w:val="14"/>
      <w:ind w:firstLine="0" w:firstLineChars="0"/>
      <w:jc w:val="center"/>
    </w:pPr>
    <w:r>
      <w:rPr>
        <w:rFonts w:hint="eastAsia"/>
        <w:sz w:val="21"/>
        <w:szCs w:val="21"/>
      </w:rPr>
      <w:t>—</w:t>
    </w:r>
    <w:r>
      <w:rPr>
        <w:sz w:val="21"/>
        <w:szCs w:val="21"/>
      </w:rPr>
      <w:t xml:space="preserve"> 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PAGE   \* MERGEFORMAT</w:instrText>
    </w:r>
    <w:r>
      <w:rPr>
        <w:sz w:val="21"/>
        <w:szCs w:val="21"/>
      </w:rPr>
      <w:fldChar w:fldCharType="separate"/>
    </w:r>
    <w:r>
      <w:rPr>
        <w:sz w:val="21"/>
        <w:szCs w:val="21"/>
        <w:lang w:val="zh-CN"/>
      </w:rPr>
      <w:t>13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80"/>
      </w:pPr>
      <w:r>
        <w:separator/>
      </w:r>
    </w:p>
  </w:footnote>
  <w:footnote w:type="continuationSeparator" w:id="1">
    <w:p>
      <w:pPr>
        <w:spacing w:line="30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76C11B">
    <w:pPr>
      <w:pStyle w:val="15"/>
      <w:numPr>
        <w:ilvl w:val="0"/>
        <w:numId w:val="0"/>
      </w:numPr>
      <w:spacing w:line="240" w:lineRule="auto"/>
      <w:rPr>
        <w:sz w:val="21"/>
        <w:szCs w:val="21"/>
      </w:rPr>
    </w:pPr>
    <w:r>
      <w:rPr>
        <w:rFonts w:hint="eastAsia"/>
        <w:sz w:val="21"/>
        <w:szCs w:val="21"/>
        <w:lang w:val="en-US" w:eastAsia="zh-CN"/>
      </w:rPr>
      <w:t>1  研究背景及意义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4D3628">
    <w:pPr>
      <w:pStyle w:val="15"/>
      <w:spacing w:line="240" w:lineRule="auto"/>
      <w:ind w:firstLine="0" w:firstLineChars="0"/>
      <w:rPr>
        <w:sz w:val="21"/>
        <w:szCs w:val="21"/>
      </w:rPr>
    </w:pPr>
    <w:r>
      <w:rPr>
        <w:rFonts w:hint="eastAsia"/>
        <w:sz w:val="21"/>
        <w:szCs w:val="21"/>
      </w:rPr>
      <w:t>西安石油大学本科毕业设计（</w:t>
    </w:r>
    <w:r>
      <w:rPr>
        <w:sz w:val="21"/>
        <w:szCs w:val="21"/>
      </w:rPr>
      <w:t>论文</w:t>
    </w:r>
    <w:r>
      <w:rPr>
        <w:rFonts w:hint="eastAsia"/>
        <w:sz w:val="21"/>
        <w:szCs w:val="21"/>
      </w:rPr>
      <w:t>）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4B1C7D">
    <w:pPr>
      <w:pStyle w:val="15"/>
      <w:spacing w:line="240" w:lineRule="auto"/>
      <w:ind w:firstLine="420"/>
      <w:rPr>
        <w:sz w:val="21"/>
        <w:szCs w:val="21"/>
      </w:rPr>
    </w:pPr>
    <w:r>
      <w:rPr>
        <w:rFonts w:hint="eastAsia"/>
        <w:sz w:val="21"/>
        <w:szCs w:val="21"/>
      </w:rPr>
      <w:t>西安石油大学本科毕业设计（</w:t>
    </w:r>
    <w:r>
      <w:rPr>
        <w:sz w:val="21"/>
        <w:szCs w:val="21"/>
      </w:rPr>
      <w:t>论文</w:t>
    </w:r>
    <w:r>
      <w:rPr>
        <w:rFonts w:hint="eastAsia"/>
        <w:sz w:val="21"/>
        <w:szCs w:val="21"/>
      </w:rPr>
      <w:t>）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A16A6F">
    <w:pPr>
      <w:pStyle w:val="15"/>
      <w:numPr>
        <w:ilvl w:val="0"/>
        <w:numId w:val="0"/>
      </w:numPr>
      <w:spacing w:line="240" w:lineRule="auto"/>
      <w:ind w:leftChars="0"/>
      <w:rPr>
        <w:sz w:val="21"/>
        <w:szCs w:val="21"/>
      </w:rPr>
    </w:pPr>
    <w:r>
      <w:rPr>
        <w:rFonts w:hint="eastAsia"/>
        <w:sz w:val="21"/>
        <w:szCs w:val="21"/>
        <w:lang w:val="en-US" w:eastAsia="zh-CN"/>
      </w:rPr>
      <w:t>3  相关分析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3EAC99">
    <w:pPr>
      <w:pStyle w:val="15"/>
      <w:spacing w:line="240" w:lineRule="auto"/>
      <w:ind w:firstLine="0" w:firstLineChars="0"/>
      <w:rPr>
        <w:sz w:val="21"/>
        <w:szCs w:val="21"/>
      </w:rPr>
    </w:pPr>
    <w:r>
      <w:rPr>
        <w:rFonts w:hint="eastAsia"/>
        <w:sz w:val="21"/>
        <w:szCs w:val="21"/>
      </w:rPr>
      <w:t>西安石油大学</w:t>
    </w:r>
    <w:r>
      <w:rPr>
        <w:sz w:val="21"/>
        <w:szCs w:val="21"/>
      </w:rPr>
      <w:t>本科毕业设计</w:t>
    </w:r>
    <w:r>
      <w:rPr>
        <w:rFonts w:hint="eastAsia"/>
        <w:sz w:val="21"/>
        <w:szCs w:val="21"/>
      </w:rPr>
      <w:t>（论文）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9D2676">
    <w:pPr>
      <w:pStyle w:val="15"/>
      <w:spacing w:line="240" w:lineRule="auto"/>
      <w:ind w:firstLine="0" w:firstLineChars="0"/>
      <w:rPr>
        <w:sz w:val="21"/>
        <w:szCs w:val="21"/>
      </w:rPr>
    </w:pPr>
    <w:r>
      <w:rPr>
        <w:rFonts w:hint="eastAsia"/>
        <w:sz w:val="21"/>
        <w:szCs w:val="21"/>
      </w:rPr>
      <w:t>西安石油大学</w:t>
    </w:r>
    <w:r>
      <w:rPr>
        <w:sz w:val="21"/>
        <w:szCs w:val="21"/>
      </w:rPr>
      <w:t>本科毕业设计（</w:t>
    </w:r>
    <w:r>
      <w:rPr>
        <w:rFonts w:hint="eastAsia"/>
        <w:sz w:val="21"/>
        <w:szCs w:val="21"/>
      </w:rPr>
      <w:t>论文</w:t>
    </w:r>
    <w:r>
      <w:rPr>
        <w:sz w:val="21"/>
        <w:szCs w:val="21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evenAndOddHeaders w:val="1"/>
  <w:drawingGridHorizontalSpacing w:val="2"/>
  <w:drawingGridVerticalSpacing w:val="3"/>
  <w:displayHorizontalDrawingGridEvery w:val="0"/>
  <w:displayVerticalDrawingGridEvery w:val="2"/>
  <w:characterSpacingControl w:val="compressPunctuation"/>
  <w:footnotePr>
    <w:numFmt w:val="decimalEnclosedCircleChinese"/>
    <w:numRestart w:val="eachSec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3ZmZjNmMyNGNjN2U4MTcxYzQ3OThkN2M5MmFjNzQifQ=="/>
  </w:docVars>
  <w:rsids>
    <w:rsidRoot w:val="00703698"/>
    <w:rsid w:val="0001520B"/>
    <w:rsid w:val="000160C0"/>
    <w:rsid w:val="00031B37"/>
    <w:rsid w:val="000B6AC1"/>
    <w:rsid w:val="0014195C"/>
    <w:rsid w:val="001A2930"/>
    <w:rsid w:val="001C16D0"/>
    <w:rsid w:val="001D7EFF"/>
    <w:rsid w:val="002D2B11"/>
    <w:rsid w:val="002E49B7"/>
    <w:rsid w:val="00383FD5"/>
    <w:rsid w:val="00401AE5"/>
    <w:rsid w:val="0044356D"/>
    <w:rsid w:val="00445406"/>
    <w:rsid w:val="0045196B"/>
    <w:rsid w:val="00482A94"/>
    <w:rsid w:val="00492C9D"/>
    <w:rsid w:val="00514B77"/>
    <w:rsid w:val="00531A1D"/>
    <w:rsid w:val="00581C28"/>
    <w:rsid w:val="00587E11"/>
    <w:rsid w:val="005C7B2D"/>
    <w:rsid w:val="00692504"/>
    <w:rsid w:val="00694FFA"/>
    <w:rsid w:val="006B614C"/>
    <w:rsid w:val="006C0F71"/>
    <w:rsid w:val="006D425D"/>
    <w:rsid w:val="006D5D23"/>
    <w:rsid w:val="006F4AA4"/>
    <w:rsid w:val="00703698"/>
    <w:rsid w:val="00713D8C"/>
    <w:rsid w:val="00746A1C"/>
    <w:rsid w:val="00772B4F"/>
    <w:rsid w:val="007B29F0"/>
    <w:rsid w:val="00823CEA"/>
    <w:rsid w:val="00843C84"/>
    <w:rsid w:val="008C2BDF"/>
    <w:rsid w:val="00904B02"/>
    <w:rsid w:val="0090694A"/>
    <w:rsid w:val="009951A4"/>
    <w:rsid w:val="009D540D"/>
    <w:rsid w:val="00A47F0F"/>
    <w:rsid w:val="00A70779"/>
    <w:rsid w:val="00B2369C"/>
    <w:rsid w:val="00BD744B"/>
    <w:rsid w:val="00BF7850"/>
    <w:rsid w:val="00BF7B7A"/>
    <w:rsid w:val="00C03F70"/>
    <w:rsid w:val="00C176F9"/>
    <w:rsid w:val="00C410D5"/>
    <w:rsid w:val="00C44E60"/>
    <w:rsid w:val="00CB34AF"/>
    <w:rsid w:val="00D5193E"/>
    <w:rsid w:val="00D64EA9"/>
    <w:rsid w:val="00D75F12"/>
    <w:rsid w:val="00DE73A5"/>
    <w:rsid w:val="00E00A5F"/>
    <w:rsid w:val="00E519A8"/>
    <w:rsid w:val="00E97651"/>
    <w:rsid w:val="00EA2EAE"/>
    <w:rsid w:val="00EC7779"/>
    <w:rsid w:val="00F266D5"/>
    <w:rsid w:val="00F320FA"/>
    <w:rsid w:val="00F566D7"/>
    <w:rsid w:val="00F6549C"/>
    <w:rsid w:val="00FC69F4"/>
    <w:rsid w:val="00FC6E8A"/>
    <w:rsid w:val="00FD04EA"/>
    <w:rsid w:val="00FE4628"/>
    <w:rsid w:val="00FF272A"/>
    <w:rsid w:val="01997502"/>
    <w:rsid w:val="05E727FF"/>
    <w:rsid w:val="089F5233"/>
    <w:rsid w:val="0F2A06A0"/>
    <w:rsid w:val="10F86567"/>
    <w:rsid w:val="12AF2E48"/>
    <w:rsid w:val="13D97CA8"/>
    <w:rsid w:val="140C2C7A"/>
    <w:rsid w:val="20EF136C"/>
    <w:rsid w:val="21920158"/>
    <w:rsid w:val="23283D85"/>
    <w:rsid w:val="2CF73F97"/>
    <w:rsid w:val="53C27C24"/>
    <w:rsid w:val="561A65FC"/>
    <w:rsid w:val="575215DD"/>
    <w:rsid w:val="6EF103B0"/>
    <w:rsid w:val="70252091"/>
    <w:rsid w:val="71EF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200" w:firstLineChars="20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0"/>
    <w:pPr>
      <w:keepNext/>
      <w:keepLines/>
      <w:widowControl/>
      <w:tabs>
        <w:tab w:val="left" w:pos="377"/>
      </w:tabs>
      <w:spacing w:beforeLines="100" w:afterLines="200"/>
      <w:ind w:firstLine="0" w:firstLineChars="0"/>
      <w:jc w:val="center"/>
      <w:outlineLvl w:val="0"/>
    </w:pPr>
    <w:rPr>
      <w:rFonts w:cs="Times New Roman"/>
      <w:b/>
      <w:bCs/>
      <w:kern w:val="44"/>
      <w:sz w:val="30"/>
      <w:szCs w:val="30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spacing w:beforeLines="50" w:afterLines="50"/>
      <w:ind w:firstLine="0" w:firstLineChars="0"/>
      <w:outlineLvl w:val="1"/>
    </w:pPr>
    <w:rPr>
      <w:rFonts w:cstheme="majorBidi"/>
      <w:b/>
      <w:bCs/>
      <w:sz w:val="28"/>
      <w:szCs w:val="32"/>
    </w:rPr>
  </w:style>
  <w:style w:type="paragraph" w:styleId="4">
    <w:name w:val="heading 3"/>
    <w:basedOn w:val="1"/>
    <w:next w:val="1"/>
    <w:link w:val="31"/>
    <w:unhideWhenUsed/>
    <w:qFormat/>
    <w:uiPriority w:val="9"/>
    <w:pPr>
      <w:keepNext/>
      <w:keepLines/>
      <w:spacing w:beforeLines="50" w:afterLines="50"/>
      <w:ind w:firstLine="0" w:firstLineChars="0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2"/>
    <w:unhideWhenUsed/>
    <w:qFormat/>
    <w:uiPriority w:val="9"/>
    <w:pPr>
      <w:keepNext/>
      <w:keepLines/>
      <w:spacing w:beforeLines="50" w:afterLines="50"/>
      <w:ind w:firstLine="0" w:firstLineChars="0"/>
      <w:outlineLvl w:val="3"/>
    </w:pPr>
    <w:rPr>
      <w:rFonts w:cstheme="majorBidi"/>
      <w:bCs/>
      <w:szCs w:val="28"/>
    </w:rPr>
  </w:style>
  <w:style w:type="paragraph" w:styleId="6">
    <w:name w:val="heading 5"/>
    <w:basedOn w:val="1"/>
    <w:next w:val="1"/>
    <w:link w:val="33"/>
    <w:unhideWhenUsed/>
    <w:qFormat/>
    <w:uiPriority w:val="9"/>
    <w:pPr>
      <w:keepNext/>
      <w:keepLines/>
      <w:outlineLvl w:val="4"/>
    </w:pPr>
    <w:rPr>
      <w:bCs/>
      <w:szCs w:val="28"/>
    </w:rPr>
  </w:style>
  <w:style w:type="paragraph" w:styleId="7">
    <w:name w:val="heading 6"/>
    <w:basedOn w:val="1"/>
    <w:next w:val="1"/>
    <w:link w:val="34"/>
    <w:unhideWhenUsed/>
    <w:qFormat/>
    <w:uiPriority w:val="9"/>
    <w:pPr>
      <w:keepNext/>
      <w:keepLines/>
      <w:outlineLvl w:val="5"/>
    </w:pPr>
    <w:rPr>
      <w:rFonts w:cstheme="majorBidi"/>
      <w:bCs/>
      <w:szCs w:val="24"/>
    </w:rPr>
  </w:style>
  <w:style w:type="paragraph" w:styleId="8">
    <w:name w:val="heading 7"/>
    <w:basedOn w:val="1"/>
    <w:next w:val="1"/>
    <w:link w:val="35"/>
    <w:semiHidden/>
    <w:unhideWhenUsed/>
    <w:qFormat/>
    <w:uiPriority w:val="9"/>
    <w:pPr>
      <w:keepNext/>
      <w:keepLines/>
      <w:outlineLvl w:val="6"/>
    </w:pPr>
    <w:rPr>
      <w:bCs/>
      <w:szCs w:val="24"/>
    </w:r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Plain Text"/>
    <w:basedOn w:val="1"/>
    <w:link w:val="37"/>
    <w:qFormat/>
    <w:uiPriority w:val="0"/>
    <w:pPr>
      <w:spacing w:line="288" w:lineRule="auto"/>
      <w:ind w:left="492"/>
      <w:outlineLvl w:val="0"/>
    </w:pPr>
    <w:rPr>
      <w:rFonts w:ascii="宋体" w:hAnsi="Courier New" w:cs="Times New Roman"/>
      <w:sz w:val="21"/>
      <w:szCs w:val="20"/>
    </w:rPr>
  </w:style>
  <w:style w:type="paragraph" w:styleId="12">
    <w:name w:val="endnote text"/>
    <w:basedOn w:val="1"/>
    <w:link w:val="43"/>
    <w:semiHidden/>
    <w:unhideWhenUsed/>
    <w:qFormat/>
    <w:uiPriority w:val="99"/>
    <w:pPr>
      <w:snapToGrid w:val="0"/>
      <w:jc w:val="left"/>
    </w:pPr>
  </w:style>
  <w:style w:type="paragraph" w:styleId="13">
    <w:name w:val="Balloon Text"/>
    <w:basedOn w:val="1"/>
    <w:link w:val="42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4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  <w:pPr>
      <w:spacing w:line="288" w:lineRule="auto"/>
    </w:pPr>
    <w:rPr>
      <w:rFonts w:cs="Times New Roman"/>
      <w:szCs w:val="21"/>
    </w:rPr>
  </w:style>
  <w:style w:type="paragraph" w:styleId="17">
    <w:name w:val="footnote text"/>
    <w:basedOn w:val="1"/>
    <w:link w:val="38"/>
    <w:semiHidden/>
    <w:qFormat/>
    <w:uiPriority w:val="0"/>
    <w:pPr>
      <w:snapToGrid w:val="0"/>
      <w:spacing w:line="288" w:lineRule="auto"/>
      <w:jc w:val="left"/>
    </w:pPr>
    <w:rPr>
      <w:rFonts w:cs="Times New Roman"/>
      <w:sz w:val="18"/>
      <w:szCs w:val="18"/>
    </w:rPr>
  </w:style>
  <w:style w:type="paragraph" w:styleId="1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table" w:styleId="21">
    <w:name w:val="Table Grid"/>
    <w:basedOn w:val="2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3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4">
    <w:name w:val="page number"/>
    <w:basedOn w:val="22"/>
    <w:qFormat/>
    <w:uiPriority w:val="0"/>
  </w:style>
  <w:style w:type="character" w:styleId="25">
    <w:name w:val="Hyperlink"/>
    <w:basedOn w:val="2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6">
    <w:name w:val="footnote reference"/>
    <w:basedOn w:val="22"/>
    <w:semiHidden/>
    <w:qFormat/>
    <w:uiPriority w:val="0"/>
    <w:rPr>
      <w:vertAlign w:val="superscript"/>
    </w:rPr>
  </w:style>
  <w:style w:type="character" w:customStyle="1" w:styleId="27">
    <w:name w:val="标题 1 Char"/>
    <w:basedOn w:val="22"/>
    <w:link w:val="2"/>
    <w:qFormat/>
    <w:uiPriority w:val="0"/>
    <w:rPr>
      <w:rFonts w:ascii="Times New Roman" w:hAnsi="Times New Roman" w:eastAsia="宋体" w:cs="Times New Roman"/>
      <w:b/>
      <w:bCs/>
      <w:kern w:val="44"/>
      <w:sz w:val="30"/>
      <w:szCs w:val="30"/>
    </w:rPr>
  </w:style>
  <w:style w:type="character" w:customStyle="1" w:styleId="28">
    <w:name w:val="页眉 Char"/>
    <w:basedOn w:val="22"/>
    <w:link w:val="15"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29">
    <w:name w:val="页脚 Char"/>
    <w:basedOn w:val="22"/>
    <w:link w:val="14"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30">
    <w:name w:val="标题 2 Char"/>
    <w:basedOn w:val="22"/>
    <w:link w:val="3"/>
    <w:qFormat/>
    <w:uiPriority w:val="9"/>
    <w:rPr>
      <w:rFonts w:ascii="Times New Roman" w:hAnsi="Times New Roman" w:eastAsia="宋体" w:cstheme="majorBidi"/>
      <w:b/>
      <w:bCs/>
      <w:sz w:val="28"/>
      <w:szCs w:val="32"/>
    </w:rPr>
  </w:style>
  <w:style w:type="character" w:customStyle="1" w:styleId="31">
    <w:name w:val="标题 3 Char"/>
    <w:basedOn w:val="22"/>
    <w:link w:val="4"/>
    <w:qFormat/>
    <w:uiPriority w:val="9"/>
    <w:rPr>
      <w:rFonts w:ascii="Times New Roman" w:hAnsi="Times New Roman" w:eastAsia="宋体"/>
      <w:b/>
      <w:bCs/>
      <w:sz w:val="24"/>
      <w:szCs w:val="32"/>
    </w:rPr>
  </w:style>
  <w:style w:type="character" w:customStyle="1" w:styleId="32">
    <w:name w:val="标题 4 Char"/>
    <w:basedOn w:val="22"/>
    <w:link w:val="5"/>
    <w:qFormat/>
    <w:uiPriority w:val="9"/>
    <w:rPr>
      <w:rFonts w:ascii="Times New Roman" w:hAnsi="Times New Roman" w:eastAsia="宋体" w:cstheme="majorBidi"/>
      <w:bCs/>
      <w:sz w:val="24"/>
      <w:szCs w:val="28"/>
    </w:rPr>
  </w:style>
  <w:style w:type="character" w:customStyle="1" w:styleId="33">
    <w:name w:val="标题 5 Char"/>
    <w:basedOn w:val="22"/>
    <w:link w:val="6"/>
    <w:qFormat/>
    <w:uiPriority w:val="9"/>
    <w:rPr>
      <w:rFonts w:ascii="Times New Roman" w:hAnsi="Times New Roman" w:eastAsia="宋体"/>
      <w:bCs/>
      <w:sz w:val="24"/>
      <w:szCs w:val="28"/>
    </w:rPr>
  </w:style>
  <w:style w:type="character" w:customStyle="1" w:styleId="34">
    <w:name w:val="标题 6 Char"/>
    <w:basedOn w:val="22"/>
    <w:link w:val="7"/>
    <w:qFormat/>
    <w:uiPriority w:val="9"/>
    <w:rPr>
      <w:rFonts w:ascii="Times New Roman" w:hAnsi="Times New Roman" w:eastAsia="宋体" w:cstheme="majorBidi"/>
      <w:bCs/>
      <w:sz w:val="24"/>
      <w:szCs w:val="24"/>
    </w:rPr>
  </w:style>
  <w:style w:type="character" w:customStyle="1" w:styleId="35">
    <w:name w:val="标题 7 Char"/>
    <w:basedOn w:val="22"/>
    <w:link w:val="8"/>
    <w:semiHidden/>
    <w:qFormat/>
    <w:uiPriority w:val="9"/>
    <w:rPr>
      <w:rFonts w:ascii="Times New Roman" w:hAnsi="Times New Roman" w:eastAsia="宋体"/>
      <w:bCs/>
      <w:sz w:val="24"/>
      <w:szCs w:val="24"/>
    </w:rPr>
  </w:style>
  <w:style w:type="paragraph" w:customStyle="1" w:styleId="36">
    <w:name w:val="图表题注"/>
    <w:basedOn w:val="1"/>
    <w:next w:val="1"/>
    <w:qFormat/>
    <w:uiPriority w:val="0"/>
    <w:pPr>
      <w:spacing w:beforeLines="50" w:afterLines="50" w:line="288" w:lineRule="auto"/>
      <w:jc w:val="center"/>
    </w:pPr>
    <w:rPr>
      <w:rFonts w:cs="Times New Roman"/>
      <w:sz w:val="21"/>
      <w:szCs w:val="21"/>
    </w:rPr>
  </w:style>
  <w:style w:type="character" w:customStyle="1" w:styleId="37">
    <w:name w:val="纯文本 Char"/>
    <w:basedOn w:val="22"/>
    <w:link w:val="11"/>
    <w:qFormat/>
    <w:uiPriority w:val="0"/>
    <w:rPr>
      <w:rFonts w:ascii="宋体" w:hAnsi="Courier New" w:eastAsia="宋体" w:cs="Times New Roman"/>
      <w:szCs w:val="20"/>
    </w:rPr>
  </w:style>
  <w:style w:type="character" w:customStyle="1" w:styleId="38">
    <w:name w:val="脚注文本 Char"/>
    <w:basedOn w:val="22"/>
    <w:link w:val="17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39">
    <w:name w:val="公式"/>
    <w:basedOn w:val="1"/>
    <w:next w:val="1"/>
    <w:qFormat/>
    <w:uiPriority w:val="0"/>
    <w:pPr>
      <w:tabs>
        <w:tab w:val="right" w:pos="8971"/>
      </w:tabs>
      <w:spacing w:beforeLines="50" w:afterLines="50"/>
      <w:ind w:firstLine="480"/>
    </w:pPr>
    <w:rPr>
      <w:rFonts w:cs="Times New Roman"/>
      <w:szCs w:val="21"/>
    </w:rPr>
  </w:style>
  <w:style w:type="character" w:styleId="40">
    <w:name w:val="Placeholder Text"/>
    <w:basedOn w:val="22"/>
    <w:semiHidden/>
    <w:qFormat/>
    <w:uiPriority w:val="99"/>
    <w:rPr>
      <w:color w:val="808080"/>
    </w:rPr>
  </w:style>
  <w:style w:type="paragraph" w:customStyle="1" w:styleId="41">
    <w:name w:val="TOC 标题1"/>
    <w:basedOn w:val="2"/>
    <w:next w:val="1"/>
    <w:unhideWhenUsed/>
    <w:qFormat/>
    <w:uiPriority w:val="39"/>
    <w:pPr>
      <w:tabs>
        <w:tab w:val="clear" w:pos="377"/>
      </w:tabs>
      <w:spacing w:beforeLines="0" w:after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42">
    <w:name w:val="批注框文本 Char"/>
    <w:basedOn w:val="22"/>
    <w:link w:val="13"/>
    <w:semiHidden/>
    <w:qFormat/>
    <w:uiPriority w:val="99"/>
    <w:rPr>
      <w:rFonts w:ascii="Times New Roman" w:hAnsi="Times New Roman" w:eastAsia="宋体"/>
      <w:sz w:val="18"/>
      <w:szCs w:val="18"/>
    </w:rPr>
  </w:style>
  <w:style w:type="character" w:customStyle="1" w:styleId="43">
    <w:name w:val="尾注文本 Char"/>
    <w:basedOn w:val="22"/>
    <w:link w:val="12"/>
    <w:semiHidden/>
    <w:qFormat/>
    <w:uiPriority w:val="99"/>
    <w:rPr>
      <w:rFonts w:ascii="Times New Roman" w:hAnsi="Times New Roman" w:eastAsia="宋体"/>
      <w:sz w:val="24"/>
    </w:rPr>
  </w:style>
  <w:style w:type="paragraph" w:styleId="44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5.jpe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footer" Target="footer3.xml"/><Relationship Id="rId11" Type="http://schemas.openxmlformats.org/officeDocument/2006/relationships/header" Target="head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8D482-B8FB-4998-881F-AE97538C3B7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4</Pages>
  <Words>1796</Words>
  <Characters>2378</Characters>
  <Lines>135</Lines>
  <Paragraphs>38</Paragraphs>
  <TotalTime>7</TotalTime>
  <ScaleCrop>false</ScaleCrop>
  <LinksUpToDate>false</LinksUpToDate>
  <CharactersWithSpaces>2418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2017-07-06T12:09:00Z</dcterms:created>
  <dc:creator>张君涛</dc:creator>
  <cp:lastModifiedBy>啾啾</cp:lastModifiedBy>
  <dcterms:modified xsi:type="dcterms:W3CDTF">2025-06-20T03:26:34Z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2DEF8D718920464EBC4AC2D2C3AC8475_13</vt:lpwstr>
  </property>
  <property fmtid="{D5CDD505-2E9C-101B-9397-08002B2CF9AE}" pid="4" name="KSOTemplateDocerSaveRecord">
    <vt:lpwstr>eyJoZGlkIjoiMTFkZDZiMTVmOGEyODI4Nzc0YzNiZTdhYzAxYzE2ZWEiLCJ1c2VySWQiOiI4NjY3MDMwMDEifQ==</vt:lpwstr>
  </property>
</Properties>
</file>