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7419" w14:textId="77777777" w:rsidR="007F041F" w:rsidRDefault="007F041F">
      <w:pPr>
        <w:spacing w:afterLines="50" w:after="120"/>
        <w:ind w:firstLine="600"/>
        <w:jc w:val="center"/>
        <w:rPr>
          <w:sz w:val="30"/>
          <w:szCs w:val="30"/>
        </w:rPr>
      </w:pPr>
      <w:bookmarkStart w:id="0" w:name="_Hlk201315328"/>
      <w:r w:rsidRPr="007F041F">
        <w:rPr>
          <w:rFonts w:hint="eastAsia"/>
          <w:sz w:val="30"/>
          <w:szCs w:val="30"/>
        </w:rPr>
        <w:t>福建早白垩世金山复式花岗岩磁组构研究</w:t>
      </w:r>
    </w:p>
    <w:bookmarkEnd w:id="0"/>
    <w:p w14:paraId="4AB61807" w14:textId="714CC7D7" w:rsidR="002B26DA" w:rsidRDefault="00000000">
      <w:pPr>
        <w:spacing w:afterLines="50" w:after="120"/>
        <w:ind w:firstLine="480"/>
        <w:jc w:val="center"/>
      </w:pPr>
      <w:r>
        <w:rPr>
          <w:rFonts w:hint="eastAsia"/>
        </w:rPr>
        <w:t>地质</w:t>
      </w:r>
      <w:r>
        <w:rPr>
          <w:rFonts w:hint="eastAsia"/>
        </w:rPr>
        <w:t>210</w:t>
      </w:r>
      <w:r w:rsidR="007F041F">
        <w:t>1</w:t>
      </w:r>
      <w:r>
        <w:rPr>
          <w:rFonts w:hint="eastAsia"/>
        </w:rPr>
        <w:t>班：</w:t>
      </w:r>
      <w:r w:rsidR="007F041F">
        <w:rPr>
          <w:rFonts w:hint="eastAsia"/>
        </w:rPr>
        <w:t>王柯帆</w:t>
      </w:r>
      <w:r>
        <w:rPr>
          <w:rFonts w:hint="eastAsia"/>
        </w:rPr>
        <w:t xml:space="preserve">  </w:t>
      </w:r>
      <w:r>
        <w:rPr>
          <w:rFonts w:hint="eastAsia"/>
        </w:rPr>
        <w:t>指导教师：</w:t>
      </w:r>
      <w:r w:rsidR="007F041F">
        <w:rPr>
          <w:rFonts w:hint="eastAsia"/>
        </w:rPr>
        <w:t>丁超</w:t>
      </w:r>
      <w:r>
        <w:rPr>
          <w:rFonts w:hint="eastAsia"/>
        </w:rPr>
        <w:t xml:space="preserve">  </w:t>
      </w:r>
      <w:r>
        <w:rPr>
          <w:rFonts w:hint="eastAsia"/>
        </w:rPr>
        <w:t>论文类型：毕业</w:t>
      </w:r>
      <w:r w:rsidR="007F041F">
        <w:rPr>
          <w:rFonts w:hint="eastAsia"/>
        </w:rPr>
        <w:t>设计</w:t>
      </w:r>
    </w:p>
    <w:p w14:paraId="02025000" w14:textId="400F7FFF" w:rsidR="002B26DA" w:rsidRDefault="00000000" w:rsidP="00692DD9">
      <w:pPr>
        <w:ind w:firstLineChars="0" w:firstLine="0"/>
        <w:rPr>
          <w:rFonts w:hint="eastAsia"/>
        </w:rPr>
      </w:pPr>
      <w:r>
        <w:rPr>
          <w:rFonts w:hint="eastAsia"/>
          <w:b/>
          <w:bCs/>
        </w:rPr>
        <w:t>摘要：</w:t>
      </w:r>
      <w:r w:rsidR="00692DD9" w:rsidRPr="00692DD9">
        <w:rPr>
          <w:rFonts w:hint="eastAsia"/>
        </w:rPr>
        <w:t>本研究以福建早白垩世金山复式花岗岩体为研究对象，通过野外构造观察、磁化率各向异性（</w:t>
      </w:r>
      <w:r w:rsidR="00692DD9" w:rsidRPr="00692DD9">
        <w:rPr>
          <w:rFonts w:hint="eastAsia"/>
        </w:rPr>
        <w:t>AMS</w:t>
      </w:r>
      <w:r w:rsidR="00692DD9" w:rsidRPr="00692DD9">
        <w:rPr>
          <w:rFonts w:hint="eastAsia"/>
        </w:rPr>
        <w:t>）测试和磁性矿物学分析，探讨了岩体侵位时的构造环境及其与区域构造演化的关系。结果表明，金山复式岩体的龙山与洋竹径单元主要载磁矿物为假单畴磁铁矿，磁组构为原生组构。洋竹径单元（约</w:t>
      </w:r>
      <w:r w:rsidR="00692DD9" w:rsidRPr="00692DD9">
        <w:rPr>
          <w:rFonts w:hint="eastAsia"/>
        </w:rPr>
        <w:t>140 Ma</w:t>
      </w:r>
      <w:r w:rsidR="00692DD9" w:rsidRPr="00692DD9">
        <w:rPr>
          <w:rFonts w:hint="eastAsia"/>
        </w:rPr>
        <w:t>）的</w:t>
      </w:r>
      <w:r w:rsidR="00692DD9" w:rsidRPr="00692DD9">
        <w:rPr>
          <w:rFonts w:hint="eastAsia"/>
        </w:rPr>
        <w:t>NW-SE</w:t>
      </w:r>
      <w:r w:rsidR="00692DD9" w:rsidRPr="00692DD9">
        <w:rPr>
          <w:rFonts w:hint="eastAsia"/>
        </w:rPr>
        <w:t>向磁线理指示其侵位于</w:t>
      </w:r>
      <w:r w:rsidR="00692DD9" w:rsidRPr="00692DD9">
        <w:rPr>
          <w:rFonts w:hint="eastAsia"/>
        </w:rPr>
        <w:t>NW-SE</w:t>
      </w:r>
      <w:r w:rsidR="00692DD9" w:rsidRPr="00692DD9">
        <w:rPr>
          <w:rFonts w:hint="eastAsia"/>
        </w:rPr>
        <w:t>向区域伸展环境，反映古太平洋板块俯冲引发的弧后伸展背景；而龙山单元（约</w:t>
      </w:r>
      <w:r w:rsidR="00692DD9" w:rsidRPr="00692DD9">
        <w:rPr>
          <w:rFonts w:hint="eastAsia"/>
        </w:rPr>
        <w:t>105 Ma</w:t>
      </w:r>
      <w:r w:rsidR="00692DD9" w:rsidRPr="00692DD9">
        <w:rPr>
          <w:rFonts w:hint="eastAsia"/>
        </w:rPr>
        <w:t>）的陡立</w:t>
      </w:r>
      <w:r w:rsidR="00692DD9" w:rsidRPr="00692DD9">
        <w:rPr>
          <w:rFonts w:hint="eastAsia"/>
        </w:rPr>
        <w:t>NE-SW</w:t>
      </w:r>
      <w:r w:rsidR="00692DD9" w:rsidRPr="00692DD9">
        <w:rPr>
          <w:rFonts w:hint="eastAsia"/>
        </w:rPr>
        <w:t>向磁面理和近水平</w:t>
      </w:r>
      <w:r w:rsidR="00692DD9" w:rsidRPr="00692DD9">
        <w:rPr>
          <w:rFonts w:hint="eastAsia"/>
        </w:rPr>
        <w:t>NE-SW</w:t>
      </w:r>
      <w:r w:rsidR="00692DD9" w:rsidRPr="00692DD9">
        <w:rPr>
          <w:rFonts w:hint="eastAsia"/>
        </w:rPr>
        <w:t>向磁线理则表明其形成于</w:t>
      </w:r>
      <w:r w:rsidR="00692DD9" w:rsidRPr="00692DD9">
        <w:rPr>
          <w:rFonts w:hint="eastAsia"/>
        </w:rPr>
        <w:t>NW-SE</w:t>
      </w:r>
      <w:r w:rsidR="00692DD9" w:rsidRPr="00692DD9">
        <w:rPr>
          <w:rFonts w:hint="eastAsia"/>
        </w:rPr>
        <w:t>向区域挤压环境，与</w:t>
      </w:r>
      <w:r w:rsidR="00692DD9" w:rsidRPr="00692DD9">
        <w:rPr>
          <w:rFonts w:hint="eastAsia"/>
        </w:rPr>
        <w:t>Dangerous Ground-</w:t>
      </w:r>
      <w:r w:rsidR="00692DD9" w:rsidRPr="00692DD9">
        <w:rPr>
          <w:rFonts w:hint="eastAsia"/>
        </w:rPr>
        <w:t>西菲律宾微陆块（</w:t>
      </w:r>
      <w:r w:rsidR="00692DD9" w:rsidRPr="00692DD9">
        <w:rPr>
          <w:rFonts w:hint="eastAsia"/>
        </w:rPr>
        <w:t>DGWP</w:t>
      </w:r>
      <w:r w:rsidR="00692DD9" w:rsidRPr="00692DD9">
        <w:rPr>
          <w:rFonts w:hint="eastAsia"/>
        </w:rPr>
        <w:t>）和华南陆块（</w:t>
      </w:r>
      <w:r w:rsidR="00692DD9" w:rsidRPr="00692DD9">
        <w:rPr>
          <w:rFonts w:hint="eastAsia"/>
        </w:rPr>
        <w:t>SCB</w:t>
      </w:r>
      <w:r w:rsidR="00692DD9" w:rsidRPr="00692DD9">
        <w:rPr>
          <w:rFonts w:hint="eastAsia"/>
        </w:rPr>
        <w:t>）的碰撞事件相关。研究揭示早白垩世华南岩浆活动主要受俯冲板片动力学过程控制，岩浆爆发期与俯冲板块后撤导致的伸展环境相对应，为理解构造</w:t>
      </w:r>
      <w:r w:rsidR="00692DD9" w:rsidRPr="00692DD9">
        <w:rPr>
          <w:rFonts w:hint="eastAsia"/>
        </w:rPr>
        <w:t>-</w:t>
      </w:r>
      <w:r w:rsidR="00692DD9" w:rsidRPr="00692DD9">
        <w:rPr>
          <w:rFonts w:hint="eastAsia"/>
        </w:rPr>
        <w:t>岩浆耦合机制提供了新证据。</w:t>
      </w:r>
    </w:p>
    <w:p w14:paraId="2DC3B624" w14:textId="487BA437" w:rsidR="002B26DA" w:rsidRDefault="00000000" w:rsidP="00692DD9">
      <w:pPr>
        <w:spacing w:beforeLines="50" w:before="120" w:afterLines="50" w:after="120"/>
        <w:ind w:firstLineChars="0" w:firstLine="0"/>
        <w:jc w:val="left"/>
      </w:pPr>
      <w:r w:rsidRPr="00692DD9">
        <w:rPr>
          <w:rFonts w:ascii="宋体" w:hAnsi="宋体" w:cs="Times New Roman" w:hint="eastAsia"/>
          <w:b/>
          <w:snapToGrid w:val="0"/>
          <w:color w:val="000000"/>
          <w:spacing w:val="4"/>
          <w:szCs w:val="24"/>
        </w:rPr>
        <w:t>关键词</w:t>
      </w:r>
      <w:r>
        <w:rPr>
          <w:rFonts w:hint="eastAsia"/>
          <w:b/>
          <w:bCs/>
        </w:rPr>
        <w:t>：</w:t>
      </w:r>
      <w:r w:rsidR="007F041F" w:rsidRPr="007F041F">
        <w:rPr>
          <w:rFonts w:hint="eastAsia"/>
        </w:rPr>
        <w:t>磁化率各向异性；构造体制；岩浆活动周期性；金山复式岩体；华南板块</w:t>
      </w:r>
    </w:p>
    <w:p w14:paraId="482F4804" w14:textId="77777777" w:rsidR="002B26DA" w:rsidRDefault="00000000">
      <w:pPr>
        <w:spacing w:beforeLines="50" w:before="120" w:afterLines="50" w:after="120"/>
        <w:ind w:firstLineChars="0" w:firstLine="0"/>
        <w:jc w:val="left"/>
        <w:rPr>
          <w:b/>
          <w:bCs/>
          <w:sz w:val="28"/>
        </w:rPr>
      </w:pPr>
      <w:r>
        <w:rPr>
          <w:rFonts w:hint="eastAsia"/>
          <w:b/>
          <w:bCs/>
          <w:sz w:val="28"/>
        </w:rPr>
        <w:t xml:space="preserve">1.  </w:t>
      </w:r>
      <w:r>
        <w:rPr>
          <w:rFonts w:hint="eastAsia"/>
          <w:b/>
          <w:bCs/>
          <w:sz w:val="28"/>
        </w:rPr>
        <w:t>研究背景及意义</w:t>
      </w:r>
    </w:p>
    <w:p w14:paraId="39A81130" w14:textId="7602479C" w:rsidR="002B26DA" w:rsidRDefault="007F041F" w:rsidP="007F041F">
      <w:pPr>
        <w:ind w:firstLine="480"/>
      </w:pPr>
      <w:r w:rsidRPr="007F041F">
        <w:rPr>
          <w:rFonts w:hint="eastAsia"/>
        </w:rPr>
        <w:t>岩浆活动对板块构造、地壳演化、古气候及矿产资源分布等具有重要指示意义。近年来研究表明，全球构造带内的岩浆活动普遍具有显著的周期性，表现为“爆发期”与“平静期”的交替。关于此周期性的控制机制，主要存在两种观点：一是认为挤压缩短构造体制导致岩浆爆发，二是认为拉伸伸展构造体制引发岩浆爆发。中生代中国东部大陆边缘是研究构造过程与岩浆活动周期性的理想天然实验室。福建金山复式花岗岩体形成于早白垩世，记录了该时期华南地区的构造</w:t>
      </w:r>
      <w:r w:rsidRPr="007F041F">
        <w:rPr>
          <w:rFonts w:hint="eastAsia"/>
        </w:rPr>
        <w:t>-</w:t>
      </w:r>
      <w:r w:rsidRPr="007F041F">
        <w:rPr>
          <w:rFonts w:hint="eastAsia"/>
        </w:rPr>
        <w:t>岩浆活动信息。因此，本研究通过对金山复式花岗岩体进行详细的磁组构分析，旨在揭示其侵位时的构造背景，探讨构造体制对岩浆活动的控制作用，为理解华南地区早白垩世的构造演化和岩浆作用机制提供依据</w:t>
      </w:r>
      <w:r w:rsidR="00000000">
        <w:rPr>
          <w:rFonts w:hint="eastAsia"/>
        </w:rPr>
        <w:t>。</w:t>
      </w:r>
    </w:p>
    <w:p w14:paraId="7FA8380C" w14:textId="77777777" w:rsidR="002B26DA" w:rsidRDefault="00000000">
      <w:pPr>
        <w:spacing w:beforeLines="50" w:before="120" w:afterLines="50" w:after="120"/>
        <w:ind w:firstLineChars="0" w:firstLine="0"/>
        <w:jc w:val="left"/>
        <w:rPr>
          <w:b/>
          <w:bCs/>
          <w:sz w:val="28"/>
        </w:rPr>
      </w:pPr>
      <w:r>
        <w:rPr>
          <w:rFonts w:hint="eastAsia"/>
          <w:b/>
          <w:bCs/>
          <w:sz w:val="28"/>
        </w:rPr>
        <w:t xml:space="preserve">2.  </w:t>
      </w:r>
      <w:r>
        <w:rPr>
          <w:rFonts w:hint="eastAsia"/>
          <w:b/>
          <w:bCs/>
          <w:sz w:val="28"/>
        </w:rPr>
        <w:t>发展现状</w:t>
      </w:r>
    </w:p>
    <w:p w14:paraId="737B2DDA" w14:textId="563D39AB" w:rsidR="002B26DA" w:rsidRDefault="007F041F">
      <w:pPr>
        <w:ind w:firstLine="480"/>
      </w:pPr>
      <w:r w:rsidRPr="007F041F">
        <w:rPr>
          <w:rFonts w:hint="eastAsia"/>
        </w:rPr>
        <w:t>华南陆块位于太平洋板块西岸，经历了多期构造事件。中生代，受古太平洋板块俯冲影响，中国东南沿海发育了大规模的岩浆活动。金山复式岩体出露于福建省东南部，是该区域重要的岩浆活动记录之一。岩体主要由两个单元构成：东部的华安洋竹径单元和西部的南靖龙山单元。前人锆石</w:t>
      </w:r>
      <w:r w:rsidRPr="007F041F">
        <w:rPr>
          <w:rFonts w:hint="eastAsia"/>
        </w:rPr>
        <w:t>U-Pb</w:t>
      </w:r>
      <w:r w:rsidRPr="007F041F">
        <w:rPr>
          <w:rFonts w:hint="eastAsia"/>
        </w:rPr>
        <w:t>定年结果显示，洋竹径单元的年龄约为</w:t>
      </w:r>
      <w:r w:rsidRPr="007F041F">
        <w:rPr>
          <w:rFonts w:hint="eastAsia"/>
        </w:rPr>
        <w:t xml:space="preserve">140.3 </w:t>
      </w:r>
      <w:r w:rsidRPr="007F041F">
        <w:rPr>
          <w:rFonts w:hint="eastAsia"/>
        </w:rPr>
        <w:t>±</w:t>
      </w:r>
      <w:r w:rsidRPr="007F041F">
        <w:rPr>
          <w:rFonts w:hint="eastAsia"/>
        </w:rPr>
        <w:t xml:space="preserve"> 1.2 Ma</w:t>
      </w:r>
      <w:r w:rsidRPr="007F041F">
        <w:rPr>
          <w:rFonts w:hint="eastAsia"/>
        </w:rPr>
        <w:t>，龙山单元的年龄约为</w:t>
      </w:r>
      <w:r w:rsidRPr="007F041F">
        <w:rPr>
          <w:rFonts w:hint="eastAsia"/>
        </w:rPr>
        <w:t xml:space="preserve">105.1 </w:t>
      </w:r>
      <w:r w:rsidRPr="007F041F">
        <w:rPr>
          <w:rFonts w:hint="eastAsia"/>
        </w:rPr>
        <w:t>±</w:t>
      </w:r>
      <w:r w:rsidRPr="007F041F">
        <w:rPr>
          <w:rFonts w:hint="eastAsia"/>
        </w:rPr>
        <w:t xml:space="preserve"> 0.8 Ma</w:t>
      </w:r>
      <w:r w:rsidRPr="007F041F">
        <w:rPr>
          <w:rFonts w:hint="eastAsia"/>
        </w:rPr>
        <w:t>。岩体围岩主要为古生代至中生代的沉积岩和火山岩</w:t>
      </w:r>
      <w:r w:rsidR="00000000">
        <w:rPr>
          <w:rFonts w:hint="eastAsia"/>
        </w:rPr>
        <w:t>。</w:t>
      </w:r>
    </w:p>
    <w:p w14:paraId="579AEA06" w14:textId="3DD81E0A" w:rsidR="002B26DA" w:rsidRDefault="00000000">
      <w:pPr>
        <w:tabs>
          <w:tab w:val="left" w:pos="6946"/>
        </w:tabs>
        <w:spacing w:beforeLines="50" w:before="120" w:afterLines="50" w:after="120"/>
        <w:ind w:firstLineChars="0" w:firstLine="0"/>
        <w:jc w:val="left"/>
        <w:rPr>
          <w:b/>
          <w:bCs/>
          <w:sz w:val="28"/>
        </w:rPr>
      </w:pPr>
      <w:r>
        <w:rPr>
          <w:rFonts w:hint="eastAsia"/>
          <w:b/>
          <w:bCs/>
          <w:sz w:val="28"/>
        </w:rPr>
        <w:t xml:space="preserve">3.  </w:t>
      </w:r>
      <w:r w:rsidR="00124319">
        <w:rPr>
          <w:rFonts w:hint="eastAsia"/>
          <w:b/>
          <w:bCs/>
          <w:sz w:val="28"/>
        </w:rPr>
        <w:t>相关</w:t>
      </w:r>
      <w:r>
        <w:rPr>
          <w:rFonts w:hint="eastAsia"/>
          <w:b/>
          <w:bCs/>
          <w:sz w:val="28"/>
        </w:rPr>
        <w:t>分析</w:t>
      </w:r>
      <w:r>
        <w:rPr>
          <w:rFonts w:hint="eastAsia"/>
          <w:b/>
          <w:bCs/>
          <w:sz w:val="28"/>
        </w:rPr>
        <w:tab/>
      </w:r>
    </w:p>
    <w:p w14:paraId="6D10BC52" w14:textId="0C449A75" w:rsidR="002B26DA" w:rsidRDefault="00000000">
      <w:pPr>
        <w:spacing w:beforeLines="50" w:before="120" w:afterLines="50" w:after="120"/>
        <w:ind w:firstLineChars="0" w:firstLine="0"/>
        <w:jc w:val="left"/>
        <w:rPr>
          <w:b/>
          <w:bCs/>
          <w:sz w:val="28"/>
        </w:rPr>
      </w:pPr>
      <w:r>
        <w:rPr>
          <w:b/>
          <w:bCs/>
        </w:rPr>
        <w:t>3</w:t>
      </w:r>
      <w:r>
        <w:rPr>
          <w:rFonts w:hint="eastAsia"/>
          <w:b/>
          <w:bCs/>
        </w:rPr>
        <w:t xml:space="preserve">.1  </w:t>
      </w:r>
      <w:r w:rsidR="00124319">
        <w:rPr>
          <w:rFonts w:hint="eastAsia"/>
          <w:b/>
          <w:bCs/>
        </w:rPr>
        <w:t>研究方法</w:t>
      </w:r>
    </w:p>
    <w:p w14:paraId="36159551" w14:textId="023D830F" w:rsidR="002B26DA" w:rsidRDefault="00124319">
      <w:pPr>
        <w:ind w:firstLine="480"/>
      </w:pPr>
      <w:r w:rsidRPr="00124319">
        <w:rPr>
          <w:rFonts w:hint="eastAsia"/>
        </w:rPr>
        <w:lastRenderedPageBreak/>
        <w:t>本研究对金山复式花岗岩体的洋竹径单元和龙山单元共采集了</w:t>
      </w:r>
      <w:r w:rsidRPr="00124319">
        <w:rPr>
          <w:rFonts w:hint="eastAsia"/>
        </w:rPr>
        <w:t>53</w:t>
      </w:r>
      <w:r w:rsidRPr="00124319">
        <w:rPr>
          <w:rFonts w:hint="eastAsia"/>
        </w:rPr>
        <w:t>个采样点的</w:t>
      </w:r>
      <w:r w:rsidRPr="00124319">
        <w:rPr>
          <w:rFonts w:hint="eastAsia"/>
        </w:rPr>
        <w:t>323</w:t>
      </w:r>
      <w:r w:rsidRPr="00124319">
        <w:rPr>
          <w:rFonts w:hint="eastAsia"/>
        </w:rPr>
        <w:t>个定向岩心样品。在实验室内，将岩心样品加工成标准圆柱体（高</w:t>
      </w:r>
      <w:r w:rsidRPr="00124319">
        <w:rPr>
          <w:rFonts w:hint="eastAsia"/>
        </w:rPr>
        <w:t>2.2cm</w:t>
      </w:r>
      <w:r w:rsidRPr="00124319">
        <w:rPr>
          <w:rFonts w:hint="eastAsia"/>
        </w:rPr>
        <w:t>，直径</w:t>
      </w:r>
      <w:r w:rsidRPr="00124319">
        <w:rPr>
          <w:rFonts w:hint="eastAsia"/>
        </w:rPr>
        <w:t>2.5cm</w:t>
      </w:r>
      <w:r w:rsidRPr="00124319">
        <w:rPr>
          <w:rFonts w:hint="eastAsia"/>
        </w:rPr>
        <w:t>）。使用</w:t>
      </w:r>
      <w:r w:rsidRPr="00124319">
        <w:rPr>
          <w:rFonts w:hint="eastAsia"/>
        </w:rPr>
        <w:t>MFK2</w:t>
      </w:r>
      <w:r w:rsidRPr="00124319">
        <w:rPr>
          <w:rFonts w:hint="eastAsia"/>
        </w:rPr>
        <w:t>卡帕桥进行磁化率各向异性（</w:t>
      </w:r>
      <w:r w:rsidRPr="00124319">
        <w:rPr>
          <w:rFonts w:hint="eastAsia"/>
        </w:rPr>
        <w:t>AMS</w:t>
      </w:r>
      <w:r w:rsidRPr="00124319">
        <w:rPr>
          <w:rFonts w:hint="eastAsia"/>
        </w:rPr>
        <w:t>）测量，并利用</w:t>
      </w:r>
      <w:r w:rsidRPr="00124319">
        <w:rPr>
          <w:rFonts w:hint="eastAsia"/>
        </w:rPr>
        <w:t>ANISOFT</w:t>
      </w:r>
      <w:r w:rsidRPr="00124319">
        <w:rPr>
          <w:rFonts w:hint="eastAsia"/>
        </w:rPr>
        <w:t>软件处理数据，获得磁化率椭球体的三个主轴方向及相应的参数，如磁化率各向异性度（</w:t>
      </w:r>
      <w:r w:rsidRPr="00124319">
        <w:rPr>
          <w:rFonts w:hint="eastAsia"/>
        </w:rPr>
        <w:t>Pj</w:t>
      </w:r>
      <w:r w:rsidRPr="00124319">
        <w:rPr>
          <w:rFonts w:hint="eastAsia"/>
        </w:rPr>
        <w:t>）和形状参数（</w:t>
      </w:r>
      <w:r w:rsidRPr="00124319">
        <w:rPr>
          <w:rFonts w:hint="eastAsia"/>
        </w:rPr>
        <w:t>T</w:t>
      </w:r>
      <w:r w:rsidRPr="00124319">
        <w:rPr>
          <w:rFonts w:hint="eastAsia"/>
        </w:rPr>
        <w:t>）。为确定载磁矿物类型和磁组构的性质（原生或次生），选取代表性样品进行了热磁实验（</w:t>
      </w:r>
      <w:r w:rsidRPr="00124319">
        <w:rPr>
          <w:rFonts w:hint="eastAsia"/>
        </w:rPr>
        <w:t>K-T</w:t>
      </w:r>
      <w:r w:rsidRPr="00124319">
        <w:rPr>
          <w:rFonts w:hint="eastAsia"/>
        </w:rPr>
        <w:t>曲线）、等温剩磁（</w:t>
      </w:r>
      <w:r w:rsidRPr="00124319">
        <w:rPr>
          <w:rFonts w:hint="eastAsia"/>
        </w:rPr>
        <w:t>IRM</w:t>
      </w:r>
      <w:r w:rsidRPr="00124319">
        <w:rPr>
          <w:rFonts w:hint="eastAsia"/>
        </w:rPr>
        <w:t>）采集曲线、磁滞回线（</w:t>
      </w:r>
      <w:r w:rsidRPr="00124319">
        <w:rPr>
          <w:rFonts w:hint="eastAsia"/>
        </w:rPr>
        <w:t>LOOP</w:t>
      </w:r>
      <w:r w:rsidRPr="00124319">
        <w:rPr>
          <w:rFonts w:hint="eastAsia"/>
        </w:rPr>
        <w:t>）以及</w:t>
      </w:r>
      <w:r w:rsidRPr="00124319">
        <w:rPr>
          <w:rFonts w:hint="eastAsia"/>
        </w:rPr>
        <w:t>Day-Plot</w:t>
      </w:r>
      <w:r w:rsidRPr="00124319">
        <w:rPr>
          <w:rFonts w:hint="eastAsia"/>
        </w:rPr>
        <w:t>分析等岩石磁学测试。</w:t>
      </w:r>
    </w:p>
    <w:p w14:paraId="52118106" w14:textId="32182EDC" w:rsidR="002B26DA" w:rsidRDefault="00000000">
      <w:pPr>
        <w:spacing w:beforeLines="50" w:before="120" w:afterLines="50" w:after="120"/>
        <w:ind w:firstLineChars="0" w:firstLine="0"/>
        <w:jc w:val="left"/>
        <w:rPr>
          <w:b/>
          <w:bCs/>
        </w:rPr>
      </w:pPr>
      <w:r>
        <w:rPr>
          <w:rFonts w:hint="eastAsia"/>
          <w:b/>
          <w:bCs/>
        </w:rPr>
        <w:t xml:space="preserve">3.2  </w:t>
      </w:r>
      <w:r w:rsidR="00124319">
        <w:rPr>
          <w:rFonts w:hint="eastAsia"/>
          <w:b/>
          <w:bCs/>
        </w:rPr>
        <w:t>结果与分析</w:t>
      </w:r>
    </w:p>
    <w:p w14:paraId="048F960E" w14:textId="03090FFF" w:rsidR="002B26DA" w:rsidRDefault="00000000">
      <w:pPr>
        <w:ind w:firstLine="480"/>
      </w:pPr>
      <w:r>
        <w:rPr>
          <w:rFonts w:hint="eastAsia"/>
        </w:rPr>
        <w:t>1</w:t>
      </w:r>
      <w:r>
        <w:rPr>
          <w:rFonts w:hint="eastAsia"/>
        </w:rPr>
        <w:t>）</w:t>
      </w:r>
      <w:r w:rsidR="00124319" w:rsidRPr="00124319">
        <w:rPr>
          <w:rFonts w:hint="eastAsia"/>
        </w:rPr>
        <w:t>载磁矿物及磁组构性质</w:t>
      </w:r>
    </w:p>
    <w:p w14:paraId="213EB4B1" w14:textId="1E41A5D2" w:rsidR="00124319" w:rsidRDefault="00124319" w:rsidP="00124319">
      <w:pPr>
        <w:ind w:firstLine="480"/>
        <w:rPr>
          <w:rFonts w:hint="eastAsia"/>
        </w:rPr>
      </w:pPr>
      <w:r w:rsidRPr="00124319">
        <w:rPr>
          <w:rFonts w:hint="eastAsia"/>
        </w:rPr>
        <w:t>热磁曲线（</w:t>
      </w:r>
      <w:r w:rsidRPr="00124319">
        <w:rPr>
          <w:rFonts w:hint="eastAsia"/>
        </w:rPr>
        <w:t>K-T</w:t>
      </w:r>
      <w:r w:rsidRPr="00124319">
        <w:rPr>
          <w:rFonts w:hint="eastAsia"/>
        </w:rPr>
        <w:t>曲线）显示，金山复式岩体两个单元的样品在</w:t>
      </w:r>
      <w:r w:rsidRPr="00124319">
        <w:rPr>
          <w:rFonts w:hint="eastAsia"/>
        </w:rPr>
        <w:t>580</w:t>
      </w:r>
      <w:r w:rsidRPr="00124319">
        <w:rPr>
          <w:rFonts w:hint="eastAsia"/>
        </w:rPr>
        <w:t>℃左右均出现磁化率急剧下降，指示主要载磁矿物为磁铁矿</w:t>
      </w:r>
      <w:r w:rsidR="00CE0AEF" w:rsidRPr="00CE0AEF">
        <w:rPr>
          <w:rFonts w:hint="eastAsia"/>
        </w:rPr>
        <w:t>（图</w:t>
      </w:r>
      <w:r w:rsidR="00CE0AEF" w:rsidRPr="00CE0AEF">
        <w:rPr>
          <w:rFonts w:hint="eastAsia"/>
        </w:rPr>
        <w:t>3-</w:t>
      </w:r>
      <w:r w:rsidR="00692DD9">
        <w:t>1</w:t>
      </w:r>
      <w:r w:rsidR="00CE0AEF" w:rsidRPr="00CE0AEF">
        <w:rPr>
          <w:rFonts w:hint="eastAsia"/>
        </w:rPr>
        <w:t>）</w:t>
      </w:r>
      <w:r w:rsidRPr="00124319">
        <w:rPr>
          <w:rFonts w:hint="eastAsia"/>
        </w:rPr>
        <w:t>。</w:t>
      </w:r>
      <w:r w:rsidRPr="00124319">
        <w:rPr>
          <w:rFonts w:hint="eastAsia"/>
        </w:rPr>
        <w:t>IRM</w:t>
      </w:r>
      <w:r w:rsidRPr="00124319">
        <w:rPr>
          <w:rFonts w:hint="eastAsia"/>
        </w:rPr>
        <w:t>曲线显示样品在</w:t>
      </w:r>
      <w:r w:rsidRPr="00124319">
        <w:rPr>
          <w:rFonts w:hint="eastAsia"/>
        </w:rPr>
        <w:t>200-300mT</w:t>
      </w:r>
      <w:r w:rsidRPr="00124319">
        <w:rPr>
          <w:rFonts w:hint="eastAsia"/>
        </w:rPr>
        <w:t>的磁场下趋于饱和，表明载磁矿物以软磁性矿物为主。磁滞回线呈典型的西格玛型（σ型），</w:t>
      </w:r>
      <w:r w:rsidRPr="00124319">
        <w:rPr>
          <w:rFonts w:hint="eastAsia"/>
        </w:rPr>
        <w:t>Day-Plot</w:t>
      </w:r>
      <w:r w:rsidRPr="00124319">
        <w:rPr>
          <w:rFonts w:hint="eastAsia"/>
        </w:rPr>
        <w:t>图解（</w:t>
      </w:r>
      <w:r w:rsidRPr="00124319">
        <w:rPr>
          <w:rFonts w:hint="eastAsia"/>
        </w:rPr>
        <w:t>Mrs/Ms vs Hcr/Hc</w:t>
      </w:r>
      <w:r w:rsidRPr="00124319">
        <w:rPr>
          <w:rFonts w:hint="eastAsia"/>
        </w:rPr>
        <w:t>）显示样品点均落在假单畴（</w:t>
      </w:r>
      <w:r w:rsidRPr="00124319">
        <w:rPr>
          <w:rFonts w:hint="eastAsia"/>
        </w:rPr>
        <w:t>PSD</w:t>
      </w:r>
      <w:r w:rsidRPr="00124319">
        <w:rPr>
          <w:rFonts w:hint="eastAsia"/>
        </w:rPr>
        <w:t>）区域</w:t>
      </w:r>
      <w:r w:rsidR="00CE0AEF">
        <w:rPr>
          <w:rFonts w:hint="eastAsia"/>
        </w:rPr>
        <w:t>（图</w:t>
      </w:r>
      <w:r w:rsidR="00CE0AEF">
        <w:rPr>
          <w:rFonts w:hint="eastAsia"/>
        </w:rPr>
        <w:t>3</w:t>
      </w:r>
      <w:r w:rsidR="00CE0AEF">
        <w:t>-2</w:t>
      </w:r>
      <w:r w:rsidR="00CE0AEF">
        <w:rPr>
          <w:rFonts w:hint="eastAsia"/>
        </w:rPr>
        <w:t>）</w:t>
      </w:r>
      <w:r w:rsidRPr="00124319">
        <w:rPr>
          <w:rFonts w:hint="eastAsia"/>
        </w:rPr>
        <w:t>。综合分析表明，金山复式岩体的主要载磁矿物为假单畴磁铁矿。岩体宏观上未见明显变形，且磁各向异性度</w:t>
      </w:r>
      <w:r w:rsidRPr="00124319">
        <w:rPr>
          <w:rFonts w:hint="eastAsia"/>
        </w:rPr>
        <w:t>Pj</w:t>
      </w:r>
      <w:r w:rsidRPr="00124319">
        <w:rPr>
          <w:rFonts w:hint="eastAsia"/>
        </w:rPr>
        <w:t>值普遍较低（主要</w:t>
      </w:r>
      <w:r w:rsidRPr="00124319">
        <w:rPr>
          <w:rFonts w:hint="eastAsia"/>
        </w:rPr>
        <w:t>&lt;1.2</w:t>
      </w:r>
      <w:r w:rsidRPr="00124319">
        <w:rPr>
          <w:rFonts w:hint="eastAsia"/>
        </w:rPr>
        <w:t>），指示磁组构为原生组构，记录了岩浆侵位流动或区域应力场的信息</w:t>
      </w:r>
      <w:r w:rsidR="00000000">
        <w:rPr>
          <w:rFonts w:hint="eastAsia"/>
        </w:rPr>
        <w:t>。</w:t>
      </w:r>
    </w:p>
    <w:p w14:paraId="21AA0EF8" w14:textId="28CDA26A" w:rsidR="002B26DA" w:rsidRDefault="00000000">
      <w:pPr>
        <w:ind w:firstLine="480"/>
      </w:pPr>
      <w:r>
        <w:rPr>
          <w:rFonts w:hint="eastAsia"/>
        </w:rPr>
        <w:t>2</w:t>
      </w:r>
      <w:r>
        <w:rPr>
          <w:rFonts w:hint="eastAsia"/>
        </w:rPr>
        <w:t>）</w:t>
      </w:r>
      <w:r w:rsidR="00124319" w:rsidRPr="00124319">
        <w:rPr>
          <w:rFonts w:hint="eastAsia"/>
        </w:rPr>
        <w:t>磁组构特征</w:t>
      </w:r>
    </w:p>
    <w:p w14:paraId="140D11D8" w14:textId="6ADD4F01" w:rsidR="002B26DA" w:rsidRDefault="00124319">
      <w:pPr>
        <w:ind w:firstLine="480"/>
      </w:pPr>
      <w:r w:rsidRPr="00124319">
        <w:rPr>
          <w:rFonts w:hint="eastAsia"/>
        </w:rPr>
        <w:t>洋竹径单元（约</w:t>
      </w:r>
      <w:r w:rsidRPr="00124319">
        <w:rPr>
          <w:rFonts w:hint="eastAsia"/>
        </w:rPr>
        <w:t>140 Ma</w:t>
      </w:r>
      <w:r w:rsidRPr="00124319">
        <w:rPr>
          <w:rFonts w:hint="eastAsia"/>
        </w:rPr>
        <w:t>）：磁化率椭球体以压扁型为主（</w:t>
      </w:r>
      <w:r w:rsidRPr="00124319">
        <w:rPr>
          <w:rFonts w:hint="eastAsia"/>
        </w:rPr>
        <w:t>T &gt; 0</w:t>
      </w:r>
      <w:r w:rsidRPr="00124319">
        <w:rPr>
          <w:rFonts w:hint="eastAsia"/>
        </w:rPr>
        <w:t>）。磁面理（</w:t>
      </w:r>
      <w:r w:rsidRPr="00124319">
        <w:rPr>
          <w:rFonts w:hint="eastAsia"/>
        </w:rPr>
        <w:t>K1-K2</w:t>
      </w:r>
      <w:r w:rsidRPr="00124319">
        <w:rPr>
          <w:rFonts w:hint="eastAsia"/>
        </w:rPr>
        <w:t>面）总体呈近水平产出，磁线理（</w:t>
      </w:r>
      <w:r w:rsidRPr="00124319">
        <w:rPr>
          <w:rFonts w:hint="eastAsia"/>
        </w:rPr>
        <w:t>K1</w:t>
      </w:r>
      <w:r w:rsidRPr="00124319">
        <w:rPr>
          <w:rFonts w:hint="eastAsia"/>
        </w:rPr>
        <w:t>轴）优势方位为</w:t>
      </w:r>
      <w:r w:rsidRPr="00124319">
        <w:rPr>
          <w:rFonts w:hint="eastAsia"/>
        </w:rPr>
        <w:t>NW-SE</w:t>
      </w:r>
      <w:r w:rsidRPr="00124319">
        <w:rPr>
          <w:rFonts w:hint="eastAsia"/>
        </w:rPr>
        <w:t>向，倾角平缓</w:t>
      </w:r>
      <w:r w:rsidR="00000000">
        <w:rPr>
          <w:rFonts w:hint="eastAsia"/>
        </w:rPr>
        <w:t>。</w:t>
      </w:r>
      <w:r w:rsidRPr="00124319">
        <w:rPr>
          <w:rFonts w:hint="eastAsia"/>
        </w:rPr>
        <w:t>龙山单元（约</w:t>
      </w:r>
      <w:r w:rsidRPr="00124319">
        <w:rPr>
          <w:rFonts w:hint="eastAsia"/>
        </w:rPr>
        <w:t>105 Ma</w:t>
      </w:r>
      <w:r w:rsidRPr="00124319">
        <w:rPr>
          <w:rFonts w:hint="eastAsia"/>
        </w:rPr>
        <w:t>）：磁化率椭球体同样以压扁型为主（</w:t>
      </w:r>
      <w:r w:rsidRPr="00124319">
        <w:rPr>
          <w:rFonts w:hint="eastAsia"/>
        </w:rPr>
        <w:t>T &gt; 0</w:t>
      </w:r>
      <w:r w:rsidRPr="00124319">
        <w:rPr>
          <w:rFonts w:hint="eastAsia"/>
        </w:rPr>
        <w:t>）。磁面理主要呈</w:t>
      </w:r>
      <w:r w:rsidRPr="00124319">
        <w:rPr>
          <w:rFonts w:hint="eastAsia"/>
        </w:rPr>
        <w:t>NW-SE</w:t>
      </w:r>
      <w:r w:rsidRPr="00124319">
        <w:rPr>
          <w:rFonts w:hint="eastAsia"/>
        </w:rPr>
        <w:t>向展布，倾角较陡；磁线理主要呈</w:t>
      </w:r>
      <w:r w:rsidRPr="00124319">
        <w:rPr>
          <w:rFonts w:hint="eastAsia"/>
        </w:rPr>
        <w:t>NE-SW</w:t>
      </w:r>
      <w:r w:rsidRPr="00124319">
        <w:rPr>
          <w:rFonts w:hint="eastAsia"/>
        </w:rPr>
        <w:t>向，倾角近水平</w:t>
      </w:r>
      <w:r w:rsidR="00CE0AEF">
        <w:rPr>
          <w:rFonts w:hint="eastAsia"/>
        </w:rPr>
        <w:t>（图</w:t>
      </w:r>
      <w:r w:rsidR="00CE0AEF">
        <w:rPr>
          <w:rFonts w:hint="eastAsia"/>
        </w:rPr>
        <w:t>3</w:t>
      </w:r>
      <w:r w:rsidR="00CE0AEF">
        <w:t>-</w:t>
      </w:r>
      <w:r w:rsidR="00692DD9">
        <w:t>2</w:t>
      </w:r>
      <w:r w:rsidR="00CE0AEF">
        <w:rPr>
          <w:rFonts w:hint="eastAsia"/>
        </w:rPr>
        <w:t>）</w:t>
      </w:r>
      <w:r w:rsidRPr="00124319">
        <w:rPr>
          <w:rFonts w:hint="eastAsia"/>
        </w:rPr>
        <w:t>。</w:t>
      </w:r>
    </w:p>
    <w:p w14:paraId="31876025" w14:textId="77777777" w:rsidR="00692DD9" w:rsidRDefault="00692DD9" w:rsidP="00692DD9">
      <w:pPr>
        <w:spacing w:beforeLines="50" w:before="120" w:afterLines="50" w:after="120"/>
        <w:ind w:firstLineChars="0" w:firstLine="0"/>
        <w:jc w:val="left"/>
        <w:rPr>
          <w:b/>
          <w:bCs/>
        </w:rPr>
      </w:pPr>
      <w:r>
        <w:rPr>
          <w:rFonts w:hint="eastAsia"/>
          <w:b/>
          <w:bCs/>
        </w:rPr>
        <w:t xml:space="preserve">3.3  </w:t>
      </w:r>
      <w:r w:rsidRPr="00B1546F">
        <w:rPr>
          <w:rFonts w:hint="eastAsia"/>
          <w:b/>
          <w:bCs/>
        </w:rPr>
        <w:t>金山复式岩体磁组构的成因</w:t>
      </w:r>
    </w:p>
    <w:p w14:paraId="31803818" w14:textId="77777777" w:rsidR="00692DD9" w:rsidRDefault="00692DD9" w:rsidP="00692DD9">
      <w:pPr>
        <w:ind w:firstLine="480"/>
      </w:pPr>
      <w:r w:rsidRPr="00B1546F">
        <w:rPr>
          <w:rFonts w:hint="eastAsia"/>
        </w:rPr>
        <w:t>洋竹径单元发育近水平的</w:t>
      </w:r>
      <w:r w:rsidRPr="00B1546F">
        <w:rPr>
          <w:rFonts w:hint="eastAsia"/>
        </w:rPr>
        <w:t>NW-SE</w:t>
      </w:r>
      <w:r w:rsidRPr="00B1546F">
        <w:rPr>
          <w:rFonts w:hint="eastAsia"/>
        </w:rPr>
        <w:t>向磁线理，指示其在</w:t>
      </w:r>
      <w:r w:rsidRPr="00B1546F">
        <w:rPr>
          <w:rFonts w:hint="eastAsia"/>
        </w:rPr>
        <w:t>NW-SE</w:t>
      </w:r>
      <w:r w:rsidRPr="00B1546F">
        <w:rPr>
          <w:rFonts w:hint="eastAsia"/>
        </w:rPr>
        <w:t>向区域拉伸伸展构造体制下侵位。龙山单元发育陡倾的</w:t>
      </w:r>
      <w:r w:rsidRPr="00B1546F">
        <w:rPr>
          <w:rFonts w:hint="eastAsia"/>
        </w:rPr>
        <w:t>NW-SE</w:t>
      </w:r>
      <w:r w:rsidRPr="00B1546F">
        <w:rPr>
          <w:rFonts w:hint="eastAsia"/>
        </w:rPr>
        <w:t>向磁面理和近水平的</w:t>
      </w:r>
      <w:r w:rsidRPr="00B1546F">
        <w:rPr>
          <w:rFonts w:hint="eastAsia"/>
        </w:rPr>
        <w:t>NE-SW</w:t>
      </w:r>
      <w:r w:rsidRPr="00B1546F">
        <w:rPr>
          <w:rFonts w:hint="eastAsia"/>
        </w:rPr>
        <w:t>向磁线理，指示其在</w:t>
      </w:r>
      <w:r w:rsidRPr="00B1546F">
        <w:rPr>
          <w:rFonts w:hint="eastAsia"/>
        </w:rPr>
        <w:t>NW-SE</w:t>
      </w:r>
      <w:r w:rsidRPr="00B1546F">
        <w:rPr>
          <w:rFonts w:hint="eastAsia"/>
        </w:rPr>
        <w:t>向区域挤压缩短构造体制下侵位。这表明在早白垩世期间，金山地区经历了一次从拉伸伸展到挤压缩短的构造体制转换</w:t>
      </w:r>
      <w:r>
        <w:rPr>
          <w:rFonts w:hint="eastAsia"/>
        </w:rPr>
        <w:t>。</w:t>
      </w:r>
    </w:p>
    <w:p w14:paraId="595C2EF8" w14:textId="77777777" w:rsidR="00692DD9" w:rsidRDefault="00692DD9" w:rsidP="00692DD9">
      <w:pPr>
        <w:spacing w:beforeLines="50" w:before="120" w:afterLines="50" w:after="120"/>
        <w:ind w:firstLineChars="0" w:firstLine="0"/>
        <w:jc w:val="left"/>
        <w:rPr>
          <w:b/>
          <w:bCs/>
        </w:rPr>
      </w:pPr>
      <w:r>
        <w:rPr>
          <w:rFonts w:hint="eastAsia"/>
          <w:b/>
          <w:bCs/>
        </w:rPr>
        <w:t>3.</w:t>
      </w:r>
      <w:r>
        <w:rPr>
          <w:b/>
          <w:bCs/>
        </w:rPr>
        <w:t>4</w:t>
      </w:r>
      <w:r>
        <w:rPr>
          <w:rFonts w:hint="eastAsia"/>
          <w:b/>
          <w:bCs/>
        </w:rPr>
        <w:t xml:space="preserve">  </w:t>
      </w:r>
      <w:r w:rsidRPr="00CE0AEF">
        <w:rPr>
          <w:rFonts w:hint="eastAsia"/>
          <w:b/>
          <w:bCs/>
        </w:rPr>
        <w:t>金山复式岩体侵位时的区域构造体制</w:t>
      </w:r>
    </w:p>
    <w:p w14:paraId="4082B49D" w14:textId="77777777" w:rsidR="00692DD9" w:rsidRDefault="00692DD9" w:rsidP="00692DD9">
      <w:pPr>
        <w:ind w:firstLine="480"/>
      </w:pPr>
      <w:r w:rsidRPr="00CE0AEF">
        <w:rPr>
          <w:rFonts w:hint="eastAsia"/>
        </w:rPr>
        <w:t>在本研究中，龙山单元的磁组构表现为磁面理呈</w:t>
      </w:r>
      <w:r w:rsidRPr="00CE0AEF">
        <w:rPr>
          <w:rFonts w:hint="eastAsia"/>
        </w:rPr>
        <w:t>NW-SE</w:t>
      </w:r>
      <w:r w:rsidRPr="00CE0AEF">
        <w:rPr>
          <w:rFonts w:hint="eastAsia"/>
        </w:rPr>
        <w:t>方向陡立集中分布，磁线理呈</w:t>
      </w:r>
      <w:r w:rsidRPr="00CE0AEF">
        <w:rPr>
          <w:rFonts w:hint="eastAsia"/>
        </w:rPr>
        <w:t>NE-SW</w:t>
      </w:r>
      <w:r w:rsidRPr="00CE0AEF">
        <w:rPr>
          <w:rFonts w:hint="eastAsia"/>
        </w:rPr>
        <w:t>方向近水平集中分布，指示了龙山单元是在区域挤压缩短体制下侵位形成。而洋竹径单元的磁组构表现为磁线理集中分布于</w:t>
      </w:r>
      <w:r w:rsidRPr="00CE0AEF">
        <w:rPr>
          <w:rFonts w:hint="eastAsia"/>
        </w:rPr>
        <w:t>NW-SE</w:t>
      </w:r>
      <w:r w:rsidRPr="00CE0AEF">
        <w:rPr>
          <w:rFonts w:hint="eastAsia"/>
        </w:rPr>
        <w:t>方向，近水平展布，磁面理集中发育，近水平展布指示了洋竹径单元是在区域拉伸伸展体制下侵位形成</w:t>
      </w:r>
      <w:r>
        <w:rPr>
          <w:rFonts w:hint="eastAsia"/>
        </w:rPr>
        <w:t>。</w:t>
      </w:r>
    </w:p>
    <w:p w14:paraId="4C41D0CB" w14:textId="77777777" w:rsidR="00692DD9" w:rsidRPr="00692DD9" w:rsidRDefault="00692DD9" w:rsidP="00692DD9">
      <w:pPr>
        <w:ind w:firstLine="480"/>
        <w:rPr>
          <w:rFonts w:hint="eastAsia"/>
        </w:rPr>
      </w:pPr>
    </w:p>
    <w:p w14:paraId="7E68600F" w14:textId="053A0FB2" w:rsidR="00124319" w:rsidRDefault="00124319" w:rsidP="00692DD9">
      <w:pPr>
        <w:ind w:firstLineChars="0" w:firstLine="0"/>
        <w:jc w:val="center"/>
      </w:pPr>
      <w:r>
        <w:rPr>
          <w:noProof/>
        </w:rPr>
        <w:lastRenderedPageBreak/>
        <w:drawing>
          <wp:inline distT="0" distB="0" distL="0" distR="0" wp14:anchorId="1F78D70A" wp14:editId="0801D1B4">
            <wp:extent cx="4900068" cy="5857336"/>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8" cstate="print">
                      <a:extLst>
                        <a:ext uri="{28A0092B-C50C-407E-A947-70E740481C1C}">
                          <a14:useLocalDpi xmlns:a14="http://schemas.microsoft.com/office/drawing/2010/main" val="0"/>
                        </a:ext>
                      </a:extLst>
                    </a:blip>
                    <a:srcRect b="6263"/>
                    <a:stretch>
                      <a:fillRect/>
                    </a:stretch>
                  </pic:blipFill>
                  <pic:spPr>
                    <a:xfrm>
                      <a:off x="0" y="0"/>
                      <a:ext cx="4909291" cy="5868361"/>
                    </a:xfrm>
                    <a:prstGeom prst="rect">
                      <a:avLst/>
                    </a:prstGeom>
                    <a:noFill/>
                    <a:ln>
                      <a:noFill/>
                    </a:ln>
                  </pic:spPr>
                </pic:pic>
              </a:graphicData>
            </a:graphic>
          </wp:inline>
        </w:drawing>
      </w:r>
    </w:p>
    <w:p w14:paraId="51248E33" w14:textId="53FFE1F2" w:rsidR="00124319" w:rsidRPr="00692DD9" w:rsidRDefault="00124319" w:rsidP="00692DD9">
      <w:pPr>
        <w:ind w:firstLineChars="0" w:firstLine="0"/>
        <w:jc w:val="center"/>
        <w:rPr>
          <w:rFonts w:cs="Times New Roman" w:hint="eastAsia"/>
          <w:b/>
          <w:bCs/>
          <w:color w:val="000000"/>
          <w:sz w:val="21"/>
          <w:szCs w:val="21"/>
        </w:rPr>
      </w:pPr>
      <w:r>
        <w:rPr>
          <w:rFonts w:cs="Times New Roman"/>
          <w:b/>
          <w:bCs/>
          <w:color w:val="000000"/>
          <w:sz w:val="21"/>
          <w:szCs w:val="21"/>
        </w:rPr>
        <w:t>图</w:t>
      </w:r>
      <w:r>
        <w:rPr>
          <w:rFonts w:cs="Times New Roman"/>
          <w:b/>
          <w:bCs/>
          <w:color w:val="000000"/>
          <w:sz w:val="21"/>
          <w:szCs w:val="21"/>
        </w:rPr>
        <w:t>3-1</w:t>
      </w:r>
      <w:r>
        <w:rPr>
          <w:rFonts w:cs="Times New Roman"/>
          <w:b/>
          <w:bCs/>
          <w:color w:val="000000"/>
          <w:sz w:val="21"/>
          <w:szCs w:val="21"/>
        </w:rPr>
        <w:t xml:space="preserve"> </w:t>
      </w:r>
      <w:r>
        <w:rPr>
          <w:rFonts w:cs="Times New Roman"/>
          <w:b/>
          <w:bCs/>
          <w:color w:val="000000"/>
          <w:sz w:val="21"/>
          <w:szCs w:val="21"/>
        </w:rPr>
        <w:t xml:space="preserve"> </w:t>
      </w:r>
      <w:r>
        <w:rPr>
          <w:rFonts w:cs="Times New Roman"/>
          <w:b/>
          <w:bCs/>
          <w:color w:val="000000"/>
          <w:sz w:val="21"/>
          <w:szCs w:val="21"/>
        </w:rPr>
        <w:t>岩体载磁矿物磁学特征图</w:t>
      </w:r>
    </w:p>
    <w:p w14:paraId="267720DE" w14:textId="698D4469" w:rsidR="00124319" w:rsidRDefault="00124319" w:rsidP="00124319">
      <w:pPr>
        <w:ind w:firstLine="422"/>
        <w:jc w:val="center"/>
        <w:rPr>
          <w:rFonts w:cs="Times New Roman"/>
          <w:b/>
          <w:bCs/>
          <w:color w:val="000000"/>
          <w:sz w:val="21"/>
          <w:szCs w:val="21"/>
        </w:rPr>
      </w:pPr>
    </w:p>
    <w:p w14:paraId="1BAAA570" w14:textId="77777777" w:rsidR="00692DD9" w:rsidRDefault="00692DD9" w:rsidP="00692DD9">
      <w:pPr>
        <w:ind w:firstLineChars="0" w:firstLine="0"/>
        <w:jc w:val="center"/>
      </w:pPr>
      <w:r>
        <w:rPr>
          <w:noProof/>
        </w:rPr>
        <w:drawing>
          <wp:inline distT="0" distB="0" distL="0" distR="0" wp14:anchorId="248D9AFA" wp14:editId="677F2330">
            <wp:extent cx="3000765" cy="1742536"/>
            <wp:effectExtent l="0" t="0" r="9525" b="0"/>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40108" cy="1765382"/>
                    </a:xfrm>
                    <a:prstGeom prst="rect">
                      <a:avLst/>
                    </a:prstGeom>
                    <a:noFill/>
                    <a:ln>
                      <a:noFill/>
                    </a:ln>
                  </pic:spPr>
                </pic:pic>
              </a:graphicData>
            </a:graphic>
          </wp:inline>
        </w:drawing>
      </w:r>
    </w:p>
    <w:p w14:paraId="7C996A3D" w14:textId="1839697F" w:rsidR="00692DD9" w:rsidRDefault="00692DD9" w:rsidP="00692DD9">
      <w:pPr>
        <w:ind w:firstLineChars="0" w:firstLine="0"/>
        <w:jc w:val="center"/>
      </w:pPr>
      <w:r>
        <w:rPr>
          <w:rFonts w:cs="Times New Roman"/>
          <w:b/>
          <w:bCs/>
          <w:color w:val="000000"/>
          <w:sz w:val="21"/>
          <w:szCs w:val="21"/>
        </w:rPr>
        <w:t>图</w:t>
      </w:r>
      <w:r>
        <w:rPr>
          <w:rFonts w:cs="Times New Roman"/>
          <w:b/>
          <w:bCs/>
          <w:color w:val="000000"/>
          <w:sz w:val="21"/>
          <w:szCs w:val="21"/>
        </w:rPr>
        <w:t>3-</w:t>
      </w:r>
      <w:r>
        <w:rPr>
          <w:rFonts w:cs="Times New Roman"/>
          <w:b/>
          <w:bCs/>
          <w:color w:val="000000"/>
          <w:sz w:val="21"/>
          <w:szCs w:val="21"/>
        </w:rPr>
        <w:t>2</w:t>
      </w:r>
      <w:r>
        <w:rPr>
          <w:rFonts w:cs="Times New Roman"/>
          <w:b/>
          <w:bCs/>
          <w:color w:val="000000"/>
          <w:sz w:val="21"/>
          <w:szCs w:val="21"/>
        </w:rPr>
        <w:t xml:space="preserve"> </w:t>
      </w:r>
      <w:r>
        <w:rPr>
          <w:rFonts w:cs="Times New Roman"/>
          <w:b/>
          <w:bCs/>
          <w:color w:val="000000"/>
          <w:sz w:val="21"/>
          <w:szCs w:val="21"/>
        </w:rPr>
        <w:t>总组构投图</w:t>
      </w:r>
    </w:p>
    <w:p w14:paraId="769C6237" w14:textId="77777777" w:rsidR="00124319" w:rsidRPr="00124319" w:rsidRDefault="00124319" w:rsidP="00124319">
      <w:pPr>
        <w:ind w:firstLineChars="0" w:firstLine="0"/>
        <w:jc w:val="center"/>
        <w:rPr>
          <w:rFonts w:hint="eastAsia"/>
        </w:rPr>
      </w:pPr>
    </w:p>
    <w:p w14:paraId="39B46D1B" w14:textId="77777777" w:rsidR="00CE0AEF" w:rsidRDefault="00CE0AEF" w:rsidP="00CE0AEF">
      <w:pPr>
        <w:spacing w:beforeLines="50" w:before="120" w:afterLines="50" w:after="120"/>
        <w:ind w:firstLineChars="0" w:firstLine="0"/>
        <w:jc w:val="left"/>
        <w:rPr>
          <w:b/>
          <w:bCs/>
        </w:rPr>
      </w:pPr>
      <w:r>
        <w:rPr>
          <w:rFonts w:hint="eastAsia"/>
          <w:b/>
          <w:bCs/>
        </w:rPr>
        <w:lastRenderedPageBreak/>
        <w:t>3.</w:t>
      </w:r>
      <w:r>
        <w:rPr>
          <w:b/>
          <w:bCs/>
        </w:rPr>
        <w:t>5</w:t>
      </w:r>
      <w:r>
        <w:rPr>
          <w:rFonts w:hint="eastAsia"/>
          <w:b/>
          <w:bCs/>
        </w:rPr>
        <w:t xml:space="preserve">  </w:t>
      </w:r>
      <w:r w:rsidRPr="00CE0AEF">
        <w:rPr>
          <w:rFonts w:hint="eastAsia"/>
          <w:b/>
          <w:bCs/>
        </w:rPr>
        <w:t>区域构造演化模型</w:t>
      </w:r>
    </w:p>
    <w:p w14:paraId="48E7F249" w14:textId="77777777" w:rsidR="00CE0AEF" w:rsidRDefault="00CE0AEF" w:rsidP="00CE0AEF">
      <w:pPr>
        <w:spacing w:beforeLines="50" w:before="120" w:afterLines="50" w:after="120"/>
        <w:ind w:firstLineChars="0" w:firstLine="0"/>
        <w:jc w:val="center"/>
      </w:pPr>
      <w:r>
        <w:rPr>
          <w:noProof/>
        </w:rPr>
        <w:drawing>
          <wp:inline distT="0" distB="0" distL="0" distR="0" wp14:anchorId="01724F93" wp14:editId="1B819A92">
            <wp:extent cx="3131389" cy="3896420"/>
            <wp:effectExtent l="0" t="0" r="0"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1571" cy="3909089"/>
                    </a:xfrm>
                    <a:prstGeom prst="rect">
                      <a:avLst/>
                    </a:prstGeom>
                    <a:noFill/>
                    <a:ln>
                      <a:noFill/>
                    </a:ln>
                  </pic:spPr>
                </pic:pic>
              </a:graphicData>
            </a:graphic>
          </wp:inline>
        </w:drawing>
      </w:r>
    </w:p>
    <w:p w14:paraId="32D206AC" w14:textId="29739DAF" w:rsidR="00CE0AEF" w:rsidRDefault="00CE0AEF" w:rsidP="00CE0AEF">
      <w:pPr>
        <w:ind w:firstLine="422"/>
        <w:jc w:val="center"/>
        <w:rPr>
          <w:rFonts w:cs="Segoe UI"/>
          <w:b/>
          <w:bCs/>
          <w:color w:val="000000"/>
          <w:sz w:val="21"/>
          <w:szCs w:val="21"/>
        </w:rPr>
      </w:pPr>
      <w:r>
        <w:rPr>
          <w:rFonts w:cs="Segoe UI" w:hint="eastAsia"/>
          <w:b/>
          <w:bCs/>
          <w:color w:val="000000"/>
          <w:sz w:val="21"/>
          <w:szCs w:val="21"/>
        </w:rPr>
        <w:t>图</w:t>
      </w:r>
      <w:r>
        <w:rPr>
          <w:rFonts w:cs="Segoe UI"/>
          <w:b/>
          <w:bCs/>
          <w:color w:val="000000"/>
          <w:sz w:val="21"/>
          <w:szCs w:val="21"/>
        </w:rPr>
        <w:t>3-</w:t>
      </w:r>
      <w:r w:rsidR="00692DD9">
        <w:rPr>
          <w:rFonts w:cs="Segoe UI"/>
          <w:b/>
          <w:bCs/>
          <w:color w:val="000000"/>
          <w:sz w:val="21"/>
          <w:szCs w:val="21"/>
        </w:rPr>
        <w:t>3</w:t>
      </w:r>
      <w:r>
        <w:rPr>
          <w:rFonts w:cs="Segoe UI" w:hint="eastAsia"/>
          <w:b/>
          <w:bCs/>
          <w:color w:val="000000"/>
          <w:sz w:val="21"/>
          <w:szCs w:val="21"/>
        </w:rPr>
        <w:t xml:space="preserve"> </w:t>
      </w:r>
      <w:r>
        <w:rPr>
          <w:rFonts w:cs="Segoe UI" w:hint="eastAsia"/>
          <w:b/>
          <w:bCs/>
          <w:color w:val="000000"/>
          <w:sz w:val="21"/>
          <w:szCs w:val="21"/>
        </w:rPr>
        <w:t>地球动力学背景演化图</w:t>
      </w:r>
    </w:p>
    <w:p w14:paraId="3E56C1A9" w14:textId="77777777" w:rsidR="00CE0AEF" w:rsidRPr="00CC7894" w:rsidRDefault="00CE0AEF" w:rsidP="00CE0AEF">
      <w:pPr>
        <w:ind w:firstLine="422"/>
        <w:jc w:val="center"/>
        <w:rPr>
          <w:rFonts w:cs="Segoe UI"/>
          <w:b/>
          <w:bCs/>
          <w:color w:val="000000"/>
          <w:sz w:val="21"/>
          <w:szCs w:val="21"/>
        </w:rPr>
      </w:pPr>
      <w:r w:rsidRPr="00CC7894">
        <w:rPr>
          <w:rFonts w:cs="Segoe UI" w:hint="eastAsia"/>
          <w:b/>
          <w:bCs/>
          <w:color w:val="000000"/>
          <w:sz w:val="21"/>
          <w:szCs w:val="21"/>
        </w:rPr>
        <w:t xml:space="preserve">A </w:t>
      </w:r>
      <w:r w:rsidRPr="00CC7894">
        <w:rPr>
          <w:rFonts w:cs="Segoe UI" w:hint="eastAsia"/>
          <w:b/>
          <w:bCs/>
          <w:color w:val="000000"/>
          <w:sz w:val="21"/>
          <w:szCs w:val="21"/>
        </w:rPr>
        <w:t>俯冲阶段；</w:t>
      </w:r>
      <w:r w:rsidRPr="00CC7894">
        <w:rPr>
          <w:rFonts w:cs="Segoe UI" w:hint="eastAsia"/>
          <w:b/>
          <w:bCs/>
          <w:color w:val="000000"/>
          <w:sz w:val="21"/>
          <w:szCs w:val="21"/>
        </w:rPr>
        <w:t xml:space="preserve">B </w:t>
      </w:r>
      <w:r w:rsidRPr="00CC7894">
        <w:rPr>
          <w:rFonts w:cs="Segoe UI" w:hint="eastAsia"/>
          <w:b/>
          <w:bCs/>
          <w:color w:val="000000"/>
          <w:sz w:val="21"/>
          <w:szCs w:val="21"/>
        </w:rPr>
        <w:t>碰撞阶段</w:t>
      </w:r>
    </w:p>
    <w:p w14:paraId="0B606BAE" w14:textId="77777777" w:rsidR="00CE0AEF" w:rsidRDefault="00CE0AEF" w:rsidP="00CE0AEF">
      <w:pPr>
        <w:spacing w:beforeLines="50" w:before="120" w:afterLines="50" w:after="120"/>
        <w:ind w:firstLineChars="0" w:firstLine="0"/>
        <w:rPr>
          <w:rFonts w:hint="eastAsia"/>
        </w:rPr>
      </w:pPr>
    </w:p>
    <w:p w14:paraId="5C94359E" w14:textId="780497DE" w:rsidR="002B26DA" w:rsidRDefault="00CE0AEF">
      <w:pPr>
        <w:spacing w:afterLines="50" w:after="120"/>
        <w:ind w:firstLine="480"/>
      </w:pPr>
      <w:r w:rsidRPr="00CE0AEF">
        <w:rPr>
          <w:rFonts w:hint="eastAsia"/>
        </w:rPr>
        <w:t>金山岩体的磁组构研究填补了</w:t>
      </w:r>
      <w:r w:rsidRPr="00CE0AEF">
        <w:rPr>
          <w:rFonts w:hint="eastAsia"/>
        </w:rPr>
        <w:t>145-130 Ma</w:t>
      </w:r>
      <w:r w:rsidRPr="00CE0AEF">
        <w:rPr>
          <w:rFonts w:hint="eastAsia"/>
        </w:rPr>
        <w:t>阶段构造证据不足的空白。洋竹径单元</w:t>
      </w:r>
      <w:r w:rsidRPr="00CE0AEF">
        <w:rPr>
          <w:rFonts w:hint="eastAsia"/>
        </w:rPr>
        <w:t>(140 Ma)</w:t>
      </w:r>
      <w:r w:rsidRPr="00CE0AEF">
        <w:rPr>
          <w:rFonts w:hint="eastAsia"/>
        </w:rPr>
        <w:t>的磁组构显示岩浆侵入先存空间，反映拉张伸展的构造环境，这一伸展型构造特征直接证实了该时期的弧后伸展体制，与古太平洋板块俯冲背景下的弧后岩浆活动高峰期相吻合</w:t>
      </w:r>
      <w:r w:rsidR="00000000">
        <w:t>。</w:t>
      </w:r>
      <w:r w:rsidRPr="00CE0AEF">
        <w:rPr>
          <w:rFonts w:hint="eastAsia"/>
        </w:rPr>
        <w:t>龙山单元</w:t>
      </w:r>
      <w:r>
        <w:rPr>
          <w:rFonts w:hint="eastAsia"/>
        </w:rPr>
        <w:t>（</w:t>
      </w:r>
      <w:r w:rsidRPr="00CE0AEF">
        <w:rPr>
          <w:rFonts w:hint="eastAsia"/>
        </w:rPr>
        <w:t>105 Ma</w:t>
      </w:r>
      <w:r>
        <w:rPr>
          <w:rFonts w:hint="eastAsia"/>
        </w:rPr>
        <w:t>）</w:t>
      </w:r>
      <w:r w:rsidRPr="00CE0AEF">
        <w:rPr>
          <w:rFonts w:hint="eastAsia"/>
        </w:rPr>
        <w:t>形成于早白垩世晚期，其磁组构指示挤压构造环境，与洋竹径单元的伸展特征形成对比（图</w:t>
      </w:r>
      <w:r w:rsidRPr="00CE0AEF">
        <w:rPr>
          <w:rFonts w:hint="eastAsia"/>
        </w:rPr>
        <w:t>3.5</w:t>
      </w:r>
      <w:r w:rsidRPr="00CE0AEF">
        <w:rPr>
          <w:rFonts w:hint="eastAsia"/>
        </w:rPr>
        <w:t>）。</w:t>
      </w:r>
    </w:p>
    <w:p w14:paraId="0C42228C" w14:textId="77777777" w:rsidR="002B26DA" w:rsidRDefault="00000000">
      <w:pPr>
        <w:spacing w:beforeLines="50" w:before="120" w:afterLines="50" w:after="120"/>
        <w:ind w:firstLineChars="0" w:firstLine="0"/>
        <w:jc w:val="left"/>
        <w:rPr>
          <w:b/>
          <w:bCs/>
          <w:sz w:val="28"/>
          <w:szCs w:val="28"/>
        </w:rPr>
      </w:pPr>
      <w:r>
        <w:rPr>
          <w:rFonts w:hint="eastAsia"/>
          <w:b/>
          <w:bCs/>
          <w:sz w:val="28"/>
          <w:szCs w:val="28"/>
        </w:rPr>
        <w:t xml:space="preserve">4.  </w:t>
      </w:r>
      <w:r>
        <w:rPr>
          <w:rFonts w:hint="eastAsia"/>
          <w:b/>
          <w:bCs/>
          <w:sz w:val="28"/>
          <w:szCs w:val="28"/>
        </w:rPr>
        <w:t>研究结论</w:t>
      </w:r>
    </w:p>
    <w:p w14:paraId="7AC4D068" w14:textId="6F610BE3" w:rsidR="00CE0AEF" w:rsidRDefault="00CE0AEF" w:rsidP="00CE0AEF">
      <w:pPr>
        <w:ind w:firstLine="480"/>
        <w:rPr>
          <w:rFonts w:hint="eastAsia"/>
        </w:rPr>
      </w:pPr>
      <w:r>
        <w:rPr>
          <w:rFonts w:hint="eastAsia"/>
        </w:rPr>
        <w:t>(1)</w:t>
      </w:r>
      <w:r>
        <w:rPr>
          <w:rFonts w:hint="eastAsia"/>
        </w:rPr>
        <w:tab/>
      </w:r>
      <w:r>
        <w:rPr>
          <w:rFonts w:hint="eastAsia"/>
        </w:rPr>
        <w:t>金山复式岩体的两个单元的主要载磁矿物均为假单</w:t>
      </w:r>
      <w:r w:rsidR="00692DD9">
        <w:rPr>
          <w:rFonts w:hint="eastAsia"/>
        </w:rPr>
        <w:t>畴</w:t>
      </w:r>
      <w:r>
        <w:rPr>
          <w:rFonts w:hint="eastAsia"/>
        </w:rPr>
        <w:t>磁铁矿。</w:t>
      </w:r>
    </w:p>
    <w:p w14:paraId="6B7C0E9B" w14:textId="77777777" w:rsidR="00CE0AEF" w:rsidRDefault="00CE0AEF" w:rsidP="00CE0AEF">
      <w:pPr>
        <w:ind w:firstLine="480"/>
        <w:rPr>
          <w:rFonts w:hint="eastAsia"/>
        </w:rPr>
      </w:pPr>
      <w:r>
        <w:rPr>
          <w:rFonts w:hint="eastAsia"/>
        </w:rPr>
        <w:t>(2)</w:t>
      </w:r>
      <w:r>
        <w:rPr>
          <w:rFonts w:hint="eastAsia"/>
        </w:rPr>
        <w:tab/>
      </w:r>
      <w:r>
        <w:rPr>
          <w:rFonts w:hint="eastAsia"/>
        </w:rPr>
        <w:t>龙山单元的磁组构表现为磁面理呈</w:t>
      </w:r>
      <w:r>
        <w:rPr>
          <w:rFonts w:hint="eastAsia"/>
        </w:rPr>
        <w:t>NW-SE</w:t>
      </w:r>
      <w:r>
        <w:rPr>
          <w:rFonts w:hint="eastAsia"/>
        </w:rPr>
        <w:t>方向陡立集中分布，磁线理呈</w:t>
      </w:r>
      <w:r>
        <w:rPr>
          <w:rFonts w:hint="eastAsia"/>
        </w:rPr>
        <w:t>NE-SW</w:t>
      </w:r>
      <w:r>
        <w:rPr>
          <w:rFonts w:hint="eastAsia"/>
        </w:rPr>
        <w:t>方向近水平集中分布，指示了龙山单元是在区域挤压缩短体制下侵位形成。而洋竹径单元的磁组构表现为大多数磁面理近水平，磁线理集中分布于</w:t>
      </w:r>
      <w:r>
        <w:rPr>
          <w:rFonts w:hint="eastAsia"/>
        </w:rPr>
        <w:t>NW-SE</w:t>
      </w:r>
      <w:r>
        <w:rPr>
          <w:rFonts w:hint="eastAsia"/>
        </w:rPr>
        <w:t>方向，近水平展布，指示了洋竹径单元是在区域拉伸伸展体制下侵位形成。</w:t>
      </w:r>
    </w:p>
    <w:p w14:paraId="4262D65B" w14:textId="11492EA6" w:rsidR="002B26DA" w:rsidRDefault="00CE0AEF" w:rsidP="00CE0AEF">
      <w:pPr>
        <w:ind w:firstLine="480"/>
      </w:pPr>
      <w:r>
        <w:rPr>
          <w:rFonts w:hint="eastAsia"/>
        </w:rPr>
        <w:t>(3)</w:t>
      </w:r>
      <w:r>
        <w:rPr>
          <w:rFonts w:hint="eastAsia"/>
        </w:rPr>
        <w:tab/>
      </w:r>
      <w:r>
        <w:rPr>
          <w:rFonts w:hint="eastAsia"/>
        </w:rPr>
        <w:t>金山复式岩体两个岩相单元侵位时的区域构造体制印证了，区域拉伸伸展导致区域岩浆爆发，而区域挤压缩短导致岩浆导致区域岩浆活动平静的观点。</w:t>
      </w:r>
    </w:p>
    <w:sectPr w:rsidR="002B26DA" w:rsidSect="00B34894">
      <w:headerReference w:type="even" r:id="rId11"/>
      <w:headerReference w:type="default" r:id="rId12"/>
      <w:footerReference w:type="even" r:id="rId13"/>
      <w:footerReference w:type="default" r:id="rId14"/>
      <w:headerReference w:type="first" r:id="rId15"/>
      <w:footerReference w:type="first" r:id="rId16"/>
      <w:footnotePr>
        <w:numFmt w:val="decimalEnclosedCircleChinese"/>
        <w:numRestart w:val="eachSect"/>
      </w:footnotePr>
      <w:pgSz w:w="11907" w:h="16840"/>
      <w:pgMar w:top="1418" w:right="1418" w:bottom="1418" w:left="1701" w:header="850" w:footer="850" w:gutter="0"/>
      <w:pgNumType w:start="1"/>
      <w:cols w:space="425"/>
      <w:docGrid w:linePitch="384" w:charSpace="7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2241B" w14:textId="77777777" w:rsidR="00A63A0B" w:rsidRDefault="00A63A0B">
      <w:pPr>
        <w:spacing w:line="240" w:lineRule="auto"/>
        <w:ind w:firstLine="480"/>
      </w:pPr>
      <w:r>
        <w:separator/>
      </w:r>
    </w:p>
  </w:endnote>
  <w:endnote w:type="continuationSeparator" w:id="0">
    <w:p w14:paraId="3CEB9F46" w14:textId="77777777" w:rsidR="00A63A0B" w:rsidRDefault="00A63A0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890642"/>
      <w:docPartObj>
        <w:docPartGallery w:val="Page Numbers (Bottom of Page)"/>
        <w:docPartUnique/>
      </w:docPartObj>
    </w:sdtPr>
    <w:sdtContent>
      <w:p w14:paraId="6A85E576" w14:textId="60F852D8" w:rsidR="00A23762" w:rsidRDefault="00A23762" w:rsidP="00A23762">
        <w:pPr>
          <w:pStyle w:val="aa"/>
          <w:spacing w:before="120" w:after="120"/>
          <w:ind w:firstLineChars="0" w:firstLine="0"/>
          <w:jc w:val="center"/>
        </w:pPr>
        <w:r>
          <w:fldChar w:fldCharType="begin"/>
        </w:r>
        <w:r>
          <w:instrText>PAGE   \* MERGEFORMAT</w:instrText>
        </w:r>
        <w:r>
          <w:fldChar w:fldCharType="separate"/>
        </w:r>
        <w:r>
          <w:rPr>
            <w:lang w:val="zh-CN"/>
          </w:rPr>
          <w:t>2</w:t>
        </w:r>
        <w:r>
          <w:fldChar w:fldCharType="end"/>
        </w:r>
      </w:p>
    </w:sdtContent>
  </w:sdt>
  <w:p w14:paraId="4286E86E" w14:textId="51730893" w:rsidR="00B34894" w:rsidRPr="00B34894" w:rsidRDefault="00B34894" w:rsidP="00B34894">
    <w:pPr>
      <w:pStyle w:val="aa"/>
      <w:ind w:firstLineChars="0" w:firstLine="0"/>
      <w:jc w:val="center"/>
      <w:rPr>
        <w:rFonts w:asciiTheme="minorEastAsia" w:eastAsiaTheme="minorEastAsia" w:hAnsiTheme="minorEastAsia" w:cs="Times New Roman"/>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398517"/>
      <w:docPartObj>
        <w:docPartGallery w:val="Page Numbers (Bottom of Page)"/>
        <w:docPartUnique/>
      </w:docPartObj>
    </w:sdtPr>
    <w:sdtContent>
      <w:p w14:paraId="5AC232A7" w14:textId="64C764A3" w:rsidR="00A23762" w:rsidRDefault="00A23762" w:rsidP="00A23762">
        <w:pPr>
          <w:pStyle w:val="aa"/>
          <w:spacing w:before="120" w:after="120"/>
          <w:ind w:firstLineChars="0" w:firstLine="0"/>
          <w:jc w:val="center"/>
        </w:pPr>
        <w:r>
          <w:fldChar w:fldCharType="begin"/>
        </w:r>
        <w:r>
          <w:instrText>PAGE   \* MERGEFORMAT</w:instrText>
        </w:r>
        <w:r>
          <w:fldChar w:fldCharType="separate"/>
        </w:r>
        <w:r>
          <w:rPr>
            <w:lang w:val="zh-CN"/>
          </w:rPr>
          <w:t>2</w:t>
        </w:r>
        <w:r>
          <w:fldChar w:fldCharType="end"/>
        </w:r>
      </w:p>
    </w:sdtContent>
  </w:sdt>
  <w:p w14:paraId="05AED18D" w14:textId="191EE63A" w:rsidR="002B26DA" w:rsidRDefault="002B26DA">
    <w:pPr>
      <w:pStyle w:val="aa"/>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431C" w14:textId="77777777" w:rsidR="00B34894" w:rsidRDefault="00B34894">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2FFFD" w14:textId="77777777" w:rsidR="00A63A0B" w:rsidRDefault="00A63A0B">
      <w:pPr>
        <w:ind w:firstLine="480"/>
      </w:pPr>
      <w:r>
        <w:separator/>
      </w:r>
    </w:p>
  </w:footnote>
  <w:footnote w:type="continuationSeparator" w:id="0">
    <w:p w14:paraId="658E2A43" w14:textId="77777777" w:rsidR="00A63A0B" w:rsidRDefault="00A63A0B">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C4E9" w14:textId="7EC1FED3" w:rsidR="002B26DA" w:rsidRPr="00B34894" w:rsidRDefault="00B34894" w:rsidP="00B34894">
    <w:pPr>
      <w:pStyle w:val="ac"/>
      <w:ind w:firstLine="420"/>
    </w:pPr>
    <w:r w:rsidRPr="00B34894">
      <w:rPr>
        <w:rFonts w:hint="eastAsia"/>
        <w:sz w:val="21"/>
        <w:szCs w:val="21"/>
      </w:rPr>
      <w:t>西安石油大学本科</w:t>
    </w:r>
    <w:r>
      <w:rPr>
        <w:rFonts w:hint="eastAsia"/>
        <w:sz w:val="21"/>
        <w:szCs w:val="21"/>
      </w:rPr>
      <w:t>2</w:t>
    </w:r>
    <w:r>
      <w:rPr>
        <w:sz w:val="21"/>
        <w:szCs w:val="21"/>
      </w:rPr>
      <w:t>025</w:t>
    </w:r>
    <w:r w:rsidRPr="00B34894">
      <w:rPr>
        <w:rFonts w:hint="eastAsia"/>
        <w:sz w:val="21"/>
        <w:szCs w:val="21"/>
      </w:rPr>
      <w:t>届本科优秀毕业设计（论文）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41C0" w14:textId="09C24868" w:rsidR="00B34894" w:rsidRPr="00B34894" w:rsidRDefault="00B34894">
    <w:pPr>
      <w:pStyle w:val="ac"/>
      <w:ind w:firstLine="420"/>
      <w:rPr>
        <w:sz w:val="21"/>
        <w:szCs w:val="21"/>
      </w:rPr>
    </w:pPr>
    <w:r w:rsidRPr="00B34894">
      <w:rPr>
        <w:rFonts w:hint="eastAsia"/>
        <w:sz w:val="21"/>
        <w:szCs w:val="21"/>
      </w:rPr>
      <w:t>福建早白垩世金山复式花岗岩磁组构研究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4E0DB" w14:textId="77777777" w:rsidR="00B34894" w:rsidRDefault="00B34894">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61426"/>
    <w:multiLevelType w:val="singleLevel"/>
    <w:tmpl w:val="66A61426"/>
    <w:lvl w:ilvl="0">
      <w:start w:val="1"/>
      <w:numFmt w:val="decimal"/>
      <w:lvlText w:val="(%1)"/>
      <w:lvlJc w:val="left"/>
      <w:pPr>
        <w:tabs>
          <w:tab w:val="left" w:pos="420"/>
        </w:tabs>
        <w:ind w:left="845" w:hanging="425"/>
      </w:pPr>
      <w:rPr>
        <w:rFonts w:hint="default"/>
      </w:rPr>
    </w:lvl>
  </w:abstractNum>
  <w:num w:numId="1" w16cid:durableId="186327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evenAndOddHeaders/>
  <w:drawingGridHorizontalSpacing w:val="2"/>
  <w:drawingGridVerticalSpacing w:val="3"/>
  <w:displayHorizontalDrawingGridEvery w:val="0"/>
  <w:displayVerticalDrawingGridEvery w:val="2"/>
  <w:characterSpacingControl w:val="compressPunctuation"/>
  <w:hdrShapeDefaults>
    <o:shapedefaults v:ext="edit" spidmax="2050" fillcolor="white">
      <v:fill color="white"/>
    </o:shapedefaults>
  </w:hdrShapeDefaults>
  <w:footnotePr>
    <w:numFmt w:val="decimalEnclosedCircleChinese"/>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U3ZmZjNmMyNGNjN2U4MTcxYzQ3OThkN2M5MmFjNzQifQ=="/>
  </w:docVars>
  <w:rsids>
    <w:rsidRoot w:val="00703698"/>
    <w:rsid w:val="0001520B"/>
    <w:rsid w:val="000160C0"/>
    <w:rsid w:val="00031B37"/>
    <w:rsid w:val="00087BEB"/>
    <w:rsid w:val="000B6AC1"/>
    <w:rsid w:val="00124319"/>
    <w:rsid w:val="0014195C"/>
    <w:rsid w:val="001A2930"/>
    <w:rsid w:val="001C16D0"/>
    <w:rsid w:val="001D7EFF"/>
    <w:rsid w:val="0023100A"/>
    <w:rsid w:val="002B26DA"/>
    <w:rsid w:val="002D2B11"/>
    <w:rsid w:val="002E49B7"/>
    <w:rsid w:val="00383FD5"/>
    <w:rsid w:val="00401AE5"/>
    <w:rsid w:val="0044356D"/>
    <w:rsid w:val="00445406"/>
    <w:rsid w:val="0045196B"/>
    <w:rsid w:val="00482A94"/>
    <w:rsid w:val="00492C9D"/>
    <w:rsid w:val="00514B77"/>
    <w:rsid w:val="00531A1D"/>
    <w:rsid w:val="00581C28"/>
    <w:rsid w:val="00587E11"/>
    <w:rsid w:val="005C7B2D"/>
    <w:rsid w:val="00692504"/>
    <w:rsid w:val="00692DD9"/>
    <w:rsid w:val="00694FFA"/>
    <w:rsid w:val="006B614C"/>
    <w:rsid w:val="006C0F71"/>
    <w:rsid w:val="006D425D"/>
    <w:rsid w:val="006D5D23"/>
    <w:rsid w:val="006F4AA4"/>
    <w:rsid w:val="00703698"/>
    <w:rsid w:val="00713D8C"/>
    <w:rsid w:val="00746A1C"/>
    <w:rsid w:val="00772B4F"/>
    <w:rsid w:val="007B29F0"/>
    <w:rsid w:val="007F041F"/>
    <w:rsid w:val="00823CEA"/>
    <w:rsid w:val="00843C84"/>
    <w:rsid w:val="008C2BDF"/>
    <w:rsid w:val="00904B02"/>
    <w:rsid w:val="0090694A"/>
    <w:rsid w:val="009951A4"/>
    <w:rsid w:val="009D540D"/>
    <w:rsid w:val="00A013D7"/>
    <w:rsid w:val="00A23762"/>
    <w:rsid w:val="00A47F0F"/>
    <w:rsid w:val="00A63A0B"/>
    <w:rsid w:val="00A70779"/>
    <w:rsid w:val="00B1546F"/>
    <w:rsid w:val="00B2369C"/>
    <w:rsid w:val="00B34894"/>
    <w:rsid w:val="00BD744B"/>
    <w:rsid w:val="00BF7850"/>
    <w:rsid w:val="00BF7B7A"/>
    <w:rsid w:val="00C03F70"/>
    <w:rsid w:val="00C176F9"/>
    <w:rsid w:val="00C410D5"/>
    <w:rsid w:val="00C44E60"/>
    <w:rsid w:val="00CB34AF"/>
    <w:rsid w:val="00CE0AEF"/>
    <w:rsid w:val="00D5193E"/>
    <w:rsid w:val="00D64EA9"/>
    <w:rsid w:val="00D75F12"/>
    <w:rsid w:val="00DE73A5"/>
    <w:rsid w:val="00E00A5F"/>
    <w:rsid w:val="00E519A8"/>
    <w:rsid w:val="00E97651"/>
    <w:rsid w:val="00EA2EAE"/>
    <w:rsid w:val="00EC7779"/>
    <w:rsid w:val="00F266D5"/>
    <w:rsid w:val="00F320FA"/>
    <w:rsid w:val="00F566D7"/>
    <w:rsid w:val="00F6549C"/>
    <w:rsid w:val="00FC69F4"/>
    <w:rsid w:val="00FC6E8A"/>
    <w:rsid w:val="00FD04EA"/>
    <w:rsid w:val="00FE4628"/>
    <w:rsid w:val="00FF272A"/>
    <w:rsid w:val="01997502"/>
    <w:rsid w:val="05E727FF"/>
    <w:rsid w:val="089F5233"/>
    <w:rsid w:val="0F2A06A0"/>
    <w:rsid w:val="10F86567"/>
    <w:rsid w:val="12AF2E48"/>
    <w:rsid w:val="13D97CA8"/>
    <w:rsid w:val="140C2C7A"/>
    <w:rsid w:val="20EF136C"/>
    <w:rsid w:val="21920158"/>
    <w:rsid w:val="23283D85"/>
    <w:rsid w:val="2CF73F97"/>
    <w:rsid w:val="53C27C24"/>
    <w:rsid w:val="561A65FC"/>
    <w:rsid w:val="575215DD"/>
    <w:rsid w:val="6EF103B0"/>
    <w:rsid w:val="70252091"/>
    <w:rsid w:val="71EF7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3A348AB"/>
  <w15:docId w15:val="{A961DB86-6C9D-408E-ABFB-B1D0AC93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AEF"/>
    <w:pPr>
      <w:widowControl w:val="0"/>
      <w:spacing w:line="300" w:lineRule="auto"/>
      <w:ind w:firstLineChars="200" w:firstLine="200"/>
      <w:jc w:val="both"/>
    </w:pPr>
    <w:rPr>
      <w:rFonts w:ascii="Times New Roman" w:eastAsia="宋体" w:hAnsi="Times New Roman"/>
      <w:kern w:val="2"/>
      <w:sz w:val="24"/>
      <w:szCs w:val="22"/>
    </w:rPr>
  </w:style>
  <w:style w:type="paragraph" w:styleId="1">
    <w:name w:val="heading 1"/>
    <w:basedOn w:val="a"/>
    <w:next w:val="a"/>
    <w:link w:val="10"/>
    <w:qFormat/>
    <w:pPr>
      <w:keepNext/>
      <w:keepLines/>
      <w:widowControl/>
      <w:tabs>
        <w:tab w:val="left" w:pos="377"/>
      </w:tabs>
      <w:spacing w:beforeLines="100" w:afterLines="200"/>
      <w:ind w:firstLineChars="0" w:firstLine="0"/>
      <w:jc w:val="center"/>
      <w:outlineLvl w:val="0"/>
    </w:pPr>
    <w:rPr>
      <w:rFonts w:cs="Times New Roman"/>
      <w:b/>
      <w:bCs/>
      <w:kern w:val="44"/>
      <w:sz w:val="30"/>
      <w:szCs w:val="30"/>
    </w:rPr>
  </w:style>
  <w:style w:type="paragraph" w:styleId="2">
    <w:name w:val="heading 2"/>
    <w:basedOn w:val="a"/>
    <w:next w:val="a"/>
    <w:link w:val="20"/>
    <w:uiPriority w:val="9"/>
    <w:unhideWhenUsed/>
    <w:qFormat/>
    <w:pPr>
      <w:keepNext/>
      <w:keepLines/>
      <w:spacing w:beforeLines="50" w:afterLines="50"/>
      <w:ind w:firstLineChars="0" w:firstLine="0"/>
      <w:outlineLvl w:val="1"/>
    </w:pPr>
    <w:rPr>
      <w:rFonts w:cstheme="majorBidi"/>
      <w:b/>
      <w:bCs/>
      <w:sz w:val="28"/>
      <w:szCs w:val="32"/>
    </w:rPr>
  </w:style>
  <w:style w:type="paragraph" w:styleId="3">
    <w:name w:val="heading 3"/>
    <w:basedOn w:val="a"/>
    <w:next w:val="a"/>
    <w:link w:val="30"/>
    <w:uiPriority w:val="9"/>
    <w:unhideWhenUsed/>
    <w:qFormat/>
    <w:pPr>
      <w:keepNext/>
      <w:keepLines/>
      <w:spacing w:beforeLines="50" w:afterLines="50"/>
      <w:ind w:firstLineChars="0" w:firstLine="0"/>
      <w:outlineLvl w:val="2"/>
    </w:pPr>
    <w:rPr>
      <w:b/>
      <w:bCs/>
      <w:szCs w:val="32"/>
    </w:rPr>
  </w:style>
  <w:style w:type="paragraph" w:styleId="4">
    <w:name w:val="heading 4"/>
    <w:basedOn w:val="a"/>
    <w:next w:val="a"/>
    <w:link w:val="40"/>
    <w:uiPriority w:val="9"/>
    <w:unhideWhenUsed/>
    <w:qFormat/>
    <w:pPr>
      <w:keepNext/>
      <w:keepLines/>
      <w:spacing w:beforeLines="50" w:afterLines="50"/>
      <w:ind w:firstLineChars="0" w:firstLine="0"/>
      <w:outlineLvl w:val="3"/>
    </w:pPr>
    <w:rPr>
      <w:rFonts w:cstheme="majorBidi"/>
      <w:bCs/>
      <w:szCs w:val="28"/>
    </w:rPr>
  </w:style>
  <w:style w:type="paragraph" w:styleId="5">
    <w:name w:val="heading 5"/>
    <w:basedOn w:val="a"/>
    <w:next w:val="a"/>
    <w:link w:val="50"/>
    <w:uiPriority w:val="9"/>
    <w:unhideWhenUsed/>
    <w:qFormat/>
    <w:pPr>
      <w:keepNext/>
      <w:keepLines/>
      <w:outlineLvl w:val="4"/>
    </w:pPr>
    <w:rPr>
      <w:bCs/>
      <w:szCs w:val="28"/>
    </w:rPr>
  </w:style>
  <w:style w:type="paragraph" w:styleId="6">
    <w:name w:val="heading 6"/>
    <w:basedOn w:val="a"/>
    <w:next w:val="a"/>
    <w:link w:val="60"/>
    <w:uiPriority w:val="9"/>
    <w:unhideWhenUsed/>
    <w:qFormat/>
    <w:pPr>
      <w:keepNext/>
      <w:keepLines/>
      <w:outlineLvl w:val="5"/>
    </w:pPr>
    <w:rPr>
      <w:rFonts w:cstheme="majorBidi"/>
      <w:bCs/>
      <w:szCs w:val="24"/>
    </w:rPr>
  </w:style>
  <w:style w:type="paragraph" w:styleId="7">
    <w:name w:val="heading 7"/>
    <w:basedOn w:val="a"/>
    <w:next w:val="a"/>
    <w:link w:val="70"/>
    <w:uiPriority w:val="9"/>
    <w:semiHidden/>
    <w:unhideWhenUsed/>
    <w:qFormat/>
    <w:pPr>
      <w:keepNext/>
      <w:keepLines/>
      <w:outlineLvl w:val="6"/>
    </w:pPr>
    <w:rPr>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Arial" w:eastAsia="黑体" w:hAnsi="Arial"/>
      <w:sz w:val="20"/>
    </w:rPr>
  </w:style>
  <w:style w:type="paragraph" w:styleId="TOC3">
    <w:name w:val="toc 3"/>
    <w:basedOn w:val="a"/>
    <w:next w:val="a"/>
    <w:uiPriority w:val="39"/>
    <w:unhideWhenUsed/>
    <w:qFormat/>
    <w:pPr>
      <w:ind w:leftChars="400" w:left="840"/>
    </w:pPr>
  </w:style>
  <w:style w:type="paragraph" w:styleId="a4">
    <w:name w:val="Plain Text"/>
    <w:basedOn w:val="a"/>
    <w:link w:val="a5"/>
    <w:qFormat/>
    <w:pPr>
      <w:spacing w:line="288" w:lineRule="auto"/>
      <w:ind w:left="492"/>
      <w:outlineLvl w:val="0"/>
    </w:pPr>
    <w:rPr>
      <w:rFonts w:ascii="宋体" w:hAnsi="Courier New" w:cs="Times New Roman"/>
      <w:sz w:val="21"/>
      <w:szCs w:val="20"/>
    </w:rPr>
  </w:style>
  <w:style w:type="paragraph" w:styleId="a6">
    <w:name w:val="endnote text"/>
    <w:basedOn w:val="a"/>
    <w:link w:val="a7"/>
    <w:uiPriority w:val="99"/>
    <w:semiHidden/>
    <w:unhideWhenUsed/>
    <w:qFormat/>
    <w:pPr>
      <w:snapToGrid w:val="0"/>
      <w:jc w:val="left"/>
    </w:pPr>
  </w:style>
  <w:style w:type="paragraph" w:styleId="a8">
    <w:name w:val="Balloon Text"/>
    <w:basedOn w:val="a"/>
    <w:link w:val="a9"/>
    <w:uiPriority w:val="99"/>
    <w:semiHidden/>
    <w:unhideWhenUsed/>
    <w:qFormat/>
    <w:pPr>
      <w:spacing w:line="240" w:lineRule="auto"/>
    </w:pPr>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line="288" w:lineRule="auto"/>
    </w:pPr>
    <w:rPr>
      <w:rFonts w:cs="Times New Roman"/>
      <w:szCs w:val="21"/>
    </w:rPr>
  </w:style>
  <w:style w:type="paragraph" w:styleId="ae">
    <w:name w:val="footnote text"/>
    <w:basedOn w:val="a"/>
    <w:link w:val="af"/>
    <w:semiHidden/>
    <w:qFormat/>
    <w:pPr>
      <w:snapToGrid w:val="0"/>
      <w:spacing w:line="288" w:lineRule="auto"/>
      <w:jc w:val="left"/>
    </w:pPr>
    <w:rPr>
      <w:rFonts w:cs="Times New Roman"/>
      <w:sz w:val="18"/>
      <w:szCs w:val="18"/>
    </w:rPr>
  </w:style>
  <w:style w:type="paragraph" w:styleId="TOC2">
    <w:name w:val="toc 2"/>
    <w:basedOn w:val="a"/>
    <w:next w:val="a"/>
    <w:uiPriority w:val="39"/>
    <w:unhideWhenUsed/>
    <w:qFormat/>
    <w:pPr>
      <w:ind w:leftChars="200" w:left="420"/>
    </w:p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Cs w:val="24"/>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ndnote reference"/>
    <w:basedOn w:val="a0"/>
    <w:uiPriority w:val="99"/>
    <w:semiHidden/>
    <w:unhideWhenUsed/>
    <w:qFormat/>
    <w:rPr>
      <w:vertAlign w:val="superscript"/>
    </w:rPr>
  </w:style>
  <w:style w:type="character" w:styleId="af3">
    <w:name w:val="page number"/>
    <w:basedOn w:val="a0"/>
    <w:qFormat/>
  </w:style>
  <w:style w:type="character" w:styleId="af4">
    <w:name w:val="Hyperlink"/>
    <w:basedOn w:val="a0"/>
    <w:uiPriority w:val="99"/>
    <w:unhideWhenUsed/>
    <w:qFormat/>
    <w:rPr>
      <w:color w:val="0563C1" w:themeColor="hyperlink"/>
      <w:u w:val="single"/>
    </w:rPr>
  </w:style>
  <w:style w:type="character" w:styleId="af5">
    <w:name w:val="footnote reference"/>
    <w:basedOn w:val="a0"/>
    <w:semiHidden/>
    <w:qFormat/>
    <w:rPr>
      <w:vertAlign w:val="superscript"/>
    </w:rPr>
  </w:style>
  <w:style w:type="character" w:customStyle="1" w:styleId="10">
    <w:name w:val="标题 1 字符"/>
    <w:basedOn w:val="a0"/>
    <w:link w:val="1"/>
    <w:qFormat/>
    <w:rPr>
      <w:rFonts w:ascii="Times New Roman" w:eastAsia="宋体" w:hAnsi="Times New Roman" w:cs="Times New Roman"/>
      <w:b/>
      <w:bCs/>
      <w:kern w:val="44"/>
      <w:sz w:val="30"/>
      <w:szCs w:val="30"/>
    </w:rPr>
  </w:style>
  <w:style w:type="character" w:customStyle="1" w:styleId="ad">
    <w:name w:val="页眉 字符"/>
    <w:basedOn w:val="a0"/>
    <w:link w:val="ac"/>
    <w:uiPriority w:val="99"/>
    <w:qFormat/>
    <w:rPr>
      <w:rFonts w:ascii="Times New Roman" w:eastAsia="宋体" w:hAnsi="Times New Roman"/>
      <w:sz w:val="18"/>
      <w:szCs w:val="18"/>
    </w:rPr>
  </w:style>
  <w:style w:type="character" w:customStyle="1" w:styleId="ab">
    <w:name w:val="页脚 字符"/>
    <w:basedOn w:val="a0"/>
    <w:link w:val="aa"/>
    <w:uiPriority w:val="99"/>
    <w:qFormat/>
    <w:rPr>
      <w:rFonts w:ascii="Times New Roman" w:eastAsia="宋体" w:hAnsi="Times New Roman"/>
      <w:sz w:val="18"/>
      <w:szCs w:val="18"/>
    </w:rPr>
  </w:style>
  <w:style w:type="character" w:customStyle="1" w:styleId="20">
    <w:name w:val="标题 2 字符"/>
    <w:basedOn w:val="a0"/>
    <w:link w:val="2"/>
    <w:uiPriority w:val="9"/>
    <w:qFormat/>
    <w:rPr>
      <w:rFonts w:ascii="Times New Roman" w:eastAsia="宋体" w:hAnsi="Times New Roman" w:cstheme="majorBidi"/>
      <w:b/>
      <w:bCs/>
      <w:sz w:val="28"/>
      <w:szCs w:val="32"/>
    </w:rPr>
  </w:style>
  <w:style w:type="character" w:customStyle="1" w:styleId="30">
    <w:name w:val="标题 3 字符"/>
    <w:basedOn w:val="a0"/>
    <w:link w:val="3"/>
    <w:uiPriority w:val="9"/>
    <w:qFormat/>
    <w:rPr>
      <w:rFonts w:ascii="Times New Roman" w:eastAsia="宋体" w:hAnsi="Times New Roman"/>
      <w:b/>
      <w:bCs/>
      <w:sz w:val="24"/>
      <w:szCs w:val="32"/>
    </w:rPr>
  </w:style>
  <w:style w:type="character" w:customStyle="1" w:styleId="40">
    <w:name w:val="标题 4 字符"/>
    <w:basedOn w:val="a0"/>
    <w:link w:val="4"/>
    <w:uiPriority w:val="9"/>
    <w:qFormat/>
    <w:rPr>
      <w:rFonts w:ascii="Times New Roman" w:eastAsia="宋体" w:hAnsi="Times New Roman" w:cstheme="majorBidi"/>
      <w:bCs/>
      <w:sz w:val="24"/>
      <w:szCs w:val="28"/>
    </w:rPr>
  </w:style>
  <w:style w:type="character" w:customStyle="1" w:styleId="50">
    <w:name w:val="标题 5 字符"/>
    <w:basedOn w:val="a0"/>
    <w:link w:val="5"/>
    <w:uiPriority w:val="9"/>
    <w:qFormat/>
    <w:rPr>
      <w:rFonts w:ascii="Times New Roman" w:eastAsia="宋体" w:hAnsi="Times New Roman"/>
      <w:bCs/>
      <w:sz w:val="24"/>
      <w:szCs w:val="28"/>
    </w:rPr>
  </w:style>
  <w:style w:type="character" w:customStyle="1" w:styleId="60">
    <w:name w:val="标题 6 字符"/>
    <w:basedOn w:val="a0"/>
    <w:link w:val="6"/>
    <w:uiPriority w:val="9"/>
    <w:qFormat/>
    <w:rPr>
      <w:rFonts w:ascii="Times New Roman" w:eastAsia="宋体" w:hAnsi="Times New Roman" w:cstheme="majorBidi"/>
      <w:bCs/>
      <w:sz w:val="24"/>
      <w:szCs w:val="24"/>
    </w:rPr>
  </w:style>
  <w:style w:type="character" w:customStyle="1" w:styleId="70">
    <w:name w:val="标题 7 字符"/>
    <w:basedOn w:val="a0"/>
    <w:link w:val="7"/>
    <w:uiPriority w:val="9"/>
    <w:semiHidden/>
    <w:qFormat/>
    <w:rPr>
      <w:rFonts w:ascii="Times New Roman" w:eastAsia="宋体" w:hAnsi="Times New Roman"/>
      <w:bCs/>
      <w:sz w:val="24"/>
      <w:szCs w:val="24"/>
    </w:rPr>
  </w:style>
  <w:style w:type="paragraph" w:customStyle="1" w:styleId="af6">
    <w:name w:val="图表题注"/>
    <w:basedOn w:val="a"/>
    <w:next w:val="a"/>
    <w:qFormat/>
    <w:pPr>
      <w:spacing w:beforeLines="50" w:afterLines="50" w:line="288" w:lineRule="auto"/>
      <w:jc w:val="center"/>
    </w:pPr>
    <w:rPr>
      <w:rFonts w:cs="Times New Roman"/>
      <w:sz w:val="21"/>
      <w:szCs w:val="21"/>
    </w:rPr>
  </w:style>
  <w:style w:type="character" w:customStyle="1" w:styleId="a5">
    <w:name w:val="纯文本 字符"/>
    <w:basedOn w:val="a0"/>
    <w:link w:val="a4"/>
    <w:qFormat/>
    <w:rPr>
      <w:rFonts w:ascii="宋体" w:eastAsia="宋体" w:hAnsi="Courier New" w:cs="Times New Roman"/>
      <w:szCs w:val="20"/>
    </w:rPr>
  </w:style>
  <w:style w:type="character" w:customStyle="1" w:styleId="af">
    <w:name w:val="脚注文本 字符"/>
    <w:basedOn w:val="a0"/>
    <w:link w:val="ae"/>
    <w:semiHidden/>
    <w:qFormat/>
    <w:rPr>
      <w:rFonts w:ascii="Times New Roman" w:eastAsia="宋体" w:hAnsi="Times New Roman" w:cs="Times New Roman"/>
      <w:sz w:val="18"/>
      <w:szCs w:val="18"/>
    </w:rPr>
  </w:style>
  <w:style w:type="paragraph" w:customStyle="1" w:styleId="af7">
    <w:name w:val="公式"/>
    <w:basedOn w:val="a"/>
    <w:next w:val="a"/>
    <w:qFormat/>
    <w:pPr>
      <w:tabs>
        <w:tab w:val="right" w:pos="8971"/>
      </w:tabs>
      <w:spacing w:beforeLines="50" w:afterLines="50"/>
      <w:ind w:firstLine="480"/>
    </w:pPr>
    <w:rPr>
      <w:rFonts w:cs="Times New Roman"/>
      <w:szCs w:val="21"/>
    </w:rPr>
  </w:style>
  <w:style w:type="character" w:styleId="af8">
    <w:name w:val="Placeholder Text"/>
    <w:basedOn w:val="a0"/>
    <w:uiPriority w:val="99"/>
    <w:semiHidden/>
    <w:qFormat/>
    <w:rPr>
      <w:color w:val="808080"/>
    </w:rPr>
  </w:style>
  <w:style w:type="paragraph" w:customStyle="1" w:styleId="TOC10">
    <w:name w:val="TOC 标题1"/>
    <w:basedOn w:val="1"/>
    <w:next w:val="a"/>
    <w:uiPriority w:val="39"/>
    <w:unhideWhenUsed/>
    <w:qFormat/>
    <w:pPr>
      <w:tabs>
        <w:tab w:val="clear" w:pos="377"/>
      </w:tabs>
      <w:spacing w:beforeLines="0" w:afterLines="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9">
    <w:name w:val="批注框文本 字符"/>
    <w:basedOn w:val="a0"/>
    <w:link w:val="a8"/>
    <w:uiPriority w:val="99"/>
    <w:semiHidden/>
    <w:qFormat/>
    <w:rPr>
      <w:rFonts w:ascii="Times New Roman" w:eastAsia="宋体" w:hAnsi="Times New Roman"/>
      <w:sz w:val="18"/>
      <w:szCs w:val="18"/>
    </w:rPr>
  </w:style>
  <w:style w:type="character" w:customStyle="1" w:styleId="a7">
    <w:name w:val="尾注文本 字符"/>
    <w:basedOn w:val="a0"/>
    <w:link w:val="a6"/>
    <w:uiPriority w:val="99"/>
    <w:semiHidden/>
    <w:qFormat/>
    <w:rPr>
      <w:rFonts w:ascii="Times New Roman" w:eastAsia="宋体" w:hAnsi="Times New Roman"/>
      <w:sz w:val="24"/>
    </w:rPr>
  </w:style>
  <w:style w:type="paragraph" w:styleId="af9">
    <w:name w:val="List Paragraph"/>
    <w:basedOn w:val="a"/>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59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8D482-B8FB-4998-881F-AE97538C3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387</Words>
  <Characters>2207</Characters>
  <Application>Microsoft Office Word</Application>
  <DocSecurity>0</DocSecurity>
  <Lines>18</Lines>
  <Paragraphs>5</Paragraphs>
  <ScaleCrop>false</ScaleCrop>
  <Company>MS</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张君涛</dc:creator>
  <cp:lastModifiedBy>独秀 陈</cp:lastModifiedBy>
  <cp:revision>4</cp:revision>
  <dcterms:created xsi:type="dcterms:W3CDTF">2025-06-20T04:24:00Z</dcterms:created>
  <dcterms:modified xsi:type="dcterms:W3CDTF">2025-06-20T04:47:00Z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2DEF8D718920464EBC4AC2D2C3AC8475_13</vt:lpwstr>
  </property>
  <property fmtid="{D5CDD505-2E9C-101B-9397-08002B2CF9AE}" pid="4" name="KSOTemplateDocerSaveRecord">
    <vt:lpwstr>eyJoZGlkIjoiMTFkZDZiMTVmOGEyODI4Nzc0YzNiZTdhYzAxYzE2ZWEiLCJ1c2VySWQiOiI4NjY3MDMwMDEifQ==</vt:lpwstr>
  </property>
</Properties>
</file>