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A96B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Times New Roman" w:hAnsi="Times New Roman" w:eastAsia="宋体" w:cs="宋体"/>
          <w:color w:val="auto"/>
          <w:sz w:val="30"/>
          <w:lang w:val="en-US" w:eastAsia="zh-CN"/>
        </w:rPr>
      </w:pPr>
      <w:r>
        <w:rPr>
          <w:rFonts w:hint="eastAsia" w:ascii="Times New Roman" w:hAnsi="Times New Roman" w:eastAsia="宋体" w:cs="宋体"/>
          <w:color w:val="auto"/>
          <w:sz w:val="30"/>
          <w:lang w:val="en-US" w:eastAsia="zh-CN"/>
        </w:rPr>
        <w:t>准噶尔盆地玛湖55井石炭系阿腊德伊克赛组黑色页岩</w:t>
      </w:r>
    </w:p>
    <w:p w14:paraId="5947B3AA">
      <w:pPr>
        <w:keepNext w:val="0"/>
        <w:keepLines w:val="0"/>
        <w:pageBreakBefore w:val="0"/>
        <w:widowControl w:val="0"/>
        <w:kinsoku/>
        <w:wordWrap/>
        <w:overflowPunct/>
        <w:topLinePunct w:val="0"/>
        <w:autoSpaceDE/>
        <w:autoSpaceDN/>
        <w:bidi w:val="0"/>
        <w:adjustRightInd/>
        <w:snapToGrid/>
        <w:spacing w:after="313" w:afterLines="100" w:line="300" w:lineRule="auto"/>
        <w:ind w:firstLine="0" w:firstLineChars="0"/>
        <w:jc w:val="center"/>
        <w:textAlignment w:val="auto"/>
        <w:rPr>
          <w:rFonts w:hint="eastAsia" w:ascii="Times New Roman" w:hAnsi="Times New Roman" w:eastAsia="宋体" w:cs="宋体"/>
          <w:color w:val="auto"/>
          <w:sz w:val="30"/>
          <w:lang w:val="en-US" w:eastAsia="zh-CN"/>
        </w:rPr>
      </w:pPr>
      <w:r>
        <w:rPr>
          <w:rFonts w:hint="eastAsia" w:ascii="Times New Roman" w:hAnsi="Times New Roman" w:eastAsia="宋体" w:cs="宋体"/>
          <w:color w:val="auto"/>
          <w:sz w:val="30"/>
          <w:lang w:val="en-US" w:eastAsia="zh-CN"/>
        </w:rPr>
        <w:t>沉积环境与烃源评价</w:t>
      </w:r>
    </w:p>
    <w:p w14:paraId="6F9EA911">
      <w:pPr>
        <w:keepNext w:val="0"/>
        <w:keepLines w:val="0"/>
        <w:pageBreakBefore w:val="0"/>
        <w:widowControl w:val="0"/>
        <w:kinsoku/>
        <w:wordWrap/>
        <w:overflowPunct/>
        <w:topLinePunct w:val="0"/>
        <w:autoSpaceDE/>
        <w:autoSpaceDN/>
        <w:bidi w:val="0"/>
        <w:adjustRightInd/>
        <w:snapToGrid/>
        <w:spacing w:after="193" w:afterLines="50"/>
        <w:ind w:firstLine="0" w:firstLineChars="0"/>
        <w:jc w:val="center"/>
        <w:textAlignment w:val="auto"/>
        <w:rPr>
          <w:rFonts w:hint="eastAsia"/>
          <w:color w:val="auto"/>
          <w:lang w:val="en-US" w:eastAsia="zh-CN"/>
        </w:rPr>
      </w:pPr>
      <w:r>
        <w:rPr>
          <w:rFonts w:hint="eastAsia"/>
          <w:color w:val="auto"/>
          <w:lang w:val="en-US" w:eastAsia="zh-CN"/>
        </w:rPr>
        <w:t>勘探2101</w:t>
      </w:r>
      <w:r>
        <w:rPr>
          <w:rFonts w:hint="eastAsia"/>
          <w:color w:val="auto"/>
        </w:rPr>
        <w:t>班：</w:t>
      </w:r>
      <w:r>
        <w:rPr>
          <w:rFonts w:hint="eastAsia"/>
          <w:color w:val="auto"/>
          <w:lang w:val="en-US" w:eastAsia="zh-CN"/>
        </w:rPr>
        <w:t>王茂森</w:t>
      </w:r>
      <w:r>
        <w:rPr>
          <w:rFonts w:hint="eastAsia"/>
          <w:color w:val="auto"/>
        </w:rPr>
        <w:t xml:space="preserve">  指导教师：</w:t>
      </w:r>
      <w:r>
        <w:rPr>
          <w:rFonts w:hint="eastAsia"/>
          <w:color w:val="auto"/>
          <w:lang w:val="en-US" w:eastAsia="zh-CN"/>
        </w:rPr>
        <w:t>张少华</w:t>
      </w:r>
      <w:r>
        <w:rPr>
          <w:rFonts w:hint="eastAsia"/>
          <w:color w:val="auto"/>
        </w:rPr>
        <w:t xml:space="preserve">  论文类型：毕业</w:t>
      </w:r>
      <w:r>
        <w:rPr>
          <w:rFonts w:hint="eastAsia"/>
          <w:color w:val="auto"/>
          <w:lang w:val="en-US" w:eastAsia="zh-CN"/>
        </w:rPr>
        <w:t>论文</w:t>
      </w:r>
    </w:p>
    <w:p w14:paraId="115C609B">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olor w:val="auto"/>
          <w:lang w:val="en-US" w:eastAsia="zh-CN"/>
        </w:rPr>
      </w:pPr>
      <w:r>
        <w:rPr>
          <w:rFonts w:hint="eastAsia"/>
          <w:b/>
          <w:bCs/>
          <w:color w:val="auto"/>
          <w:lang w:val="en-US" w:eastAsia="zh-CN"/>
        </w:rPr>
        <w:t>摘要：</w:t>
      </w:r>
      <w:r>
        <w:rPr>
          <w:rFonts w:hint="eastAsia"/>
          <w:color w:val="auto"/>
          <w:lang w:val="en-US" w:eastAsia="zh-CN"/>
        </w:rPr>
        <w:t>本文基于地球化学基本原理，使用岩石热解、主微量元素等测试资料，研究了克百断裂带—中拐凸起地区玛湖55井上石炭统阿腊德依克赛组黑色页岩原始生烃潜力和原始丰度特征，系统恢复了页岩沉积期古气候条件、母岩性质、母岩风化特征、水体氧化还原条件、古生产力、陆源碎屑输入、水体深度等沉积古环境要素，并在此基础上，通过分析古环境指标与有机质明确了有机质富集的主控因素，建立了3种受古水深—古气候宏观调控的海陆过渡环境页岩有机质富集模式。</w:t>
      </w:r>
    </w:p>
    <w:p w14:paraId="0406CAC1">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olor w:val="auto"/>
          <w:lang w:val="en-US" w:eastAsia="zh-CN"/>
        </w:rPr>
      </w:pPr>
    </w:p>
    <w:p w14:paraId="7A75F5E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color w:val="auto"/>
        </w:rPr>
      </w:pPr>
      <w:r>
        <w:rPr>
          <w:rFonts w:hint="eastAsia"/>
          <w:b/>
          <w:bCs/>
          <w:color w:val="auto"/>
        </w:rPr>
        <w:t>关键词：</w:t>
      </w:r>
      <w:r>
        <w:rPr>
          <w:rFonts w:hint="eastAsia"/>
          <w:color w:val="auto"/>
        </w:rPr>
        <w:t>准噶尔盆地西北缘；生烃潜力恢复；有机质富集模式；阿腊德依克赛组</w:t>
      </w:r>
    </w:p>
    <w:p w14:paraId="7C3C7F36">
      <w:pPr>
        <w:spacing w:before="156" w:beforeLines="50" w:after="156" w:afterLines="50" w:line="300" w:lineRule="auto"/>
        <w:ind w:left="0" w:leftChars="0" w:firstLine="0" w:firstLineChars="0"/>
        <w:jc w:val="left"/>
        <w:rPr>
          <w:rFonts w:hint="eastAsia" w:ascii="Times New Roman" w:hAnsi="Times New Roman" w:eastAsia="宋体"/>
          <w:b/>
          <w:bCs/>
          <w:color w:val="auto"/>
          <w:sz w:val="28"/>
        </w:rPr>
      </w:pPr>
      <w:r>
        <w:rPr>
          <w:rFonts w:hint="eastAsia" w:ascii="Times New Roman" w:hAnsi="Times New Roman" w:eastAsia="宋体"/>
          <w:b/>
          <w:bCs/>
          <w:color w:val="auto"/>
          <w:sz w:val="28"/>
        </w:rPr>
        <w:t>1</w:t>
      </w:r>
      <w:r>
        <w:rPr>
          <w:rFonts w:hint="eastAsia"/>
          <w:b/>
          <w:bCs/>
          <w:color w:val="auto"/>
          <w:sz w:val="28"/>
          <w:lang w:val="en-US" w:eastAsia="zh-CN"/>
        </w:rPr>
        <w:t>.</w:t>
      </w:r>
      <w:r>
        <w:rPr>
          <w:rFonts w:hint="eastAsia" w:ascii="Times New Roman" w:hAnsi="Times New Roman" w:eastAsia="宋体"/>
          <w:b/>
          <w:bCs/>
          <w:color w:val="auto"/>
          <w:sz w:val="28"/>
        </w:rPr>
        <w:t xml:space="preserve">  研究背景及意义</w:t>
      </w:r>
    </w:p>
    <w:p w14:paraId="18487DE9">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石炭系是准噶尔盆地的第一套沉积地层，勘探程度与研究程度相对其他层系较低，对石炭系烃源岩的研究也主要集中在盆地中-东部，盆地西北缘研究仍比较欠缺。</w:t>
      </w:r>
      <w:r>
        <w:rPr>
          <w:rFonts w:hint="eastAsia"/>
          <w:color w:val="auto"/>
          <w:lang w:val="en-US" w:eastAsia="zh-CN"/>
        </w:rPr>
        <w:t>由于</w:t>
      </w:r>
      <w:r>
        <w:rPr>
          <w:rFonts w:hint="default"/>
          <w:color w:val="auto"/>
          <w:lang w:val="en-US" w:eastAsia="zh-CN"/>
        </w:rPr>
        <w:t>盆地西北缘经历</w:t>
      </w:r>
      <w:r>
        <w:rPr>
          <w:rFonts w:hint="eastAsia"/>
          <w:color w:val="auto"/>
          <w:lang w:val="en-US" w:eastAsia="zh-CN"/>
        </w:rPr>
        <w:t>了</w:t>
      </w:r>
      <w:r>
        <w:rPr>
          <w:rFonts w:hint="default"/>
          <w:color w:val="auto"/>
          <w:lang w:val="en-US" w:eastAsia="zh-CN"/>
        </w:rPr>
        <w:t>多期次构造变形与岩浆活动，石炭系地层划分长期</w:t>
      </w:r>
      <w:r>
        <w:rPr>
          <w:rFonts w:hint="eastAsia"/>
          <w:color w:val="auto"/>
          <w:lang w:val="en-US" w:eastAsia="zh-CN"/>
        </w:rPr>
        <w:t>以来</w:t>
      </w:r>
      <w:r>
        <w:rPr>
          <w:rFonts w:hint="default"/>
          <w:color w:val="auto"/>
          <w:lang w:val="en-US" w:eastAsia="zh-CN"/>
        </w:rPr>
        <w:t>存在</w:t>
      </w:r>
      <w:r>
        <w:rPr>
          <w:rFonts w:hint="eastAsia"/>
          <w:color w:val="auto"/>
          <w:lang w:val="en-US" w:eastAsia="zh-CN"/>
        </w:rPr>
        <w:t>争议</w:t>
      </w:r>
      <w:r>
        <w:rPr>
          <w:rFonts w:hint="default"/>
          <w:color w:val="auto"/>
          <w:lang w:val="en-US" w:eastAsia="zh-CN"/>
        </w:rPr>
        <w:t>。另外，石炭系烃源岩具有海相、海陆交互相、陆相等复杂的沉积环境，因此，前人对盆地西北缘石炭系烃源岩潜力还没有形成统一的认识，对于石炭系烃源岩沉积环境、有机质富集要素认识</w:t>
      </w:r>
      <w:r>
        <w:rPr>
          <w:rFonts w:hint="eastAsia"/>
          <w:color w:val="auto"/>
          <w:lang w:val="en-US" w:eastAsia="zh-CN"/>
        </w:rPr>
        <w:t>仍</w:t>
      </w:r>
      <w:r>
        <w:rPr>
          <w:rFonts w:hint="default"/>
          <w:color w:val="auto"/>
          <w:lang w:val="en-US" w:eastAsia="zh-CN"/>
        </w:rPr>
        <w:t>不够清晰，导致盆地西北缘石炭系资源前景还不明朗。本次研究通过高精度的地球化学资料，系统评价盆地西北缘玛湖55井上石炭统阿腊德伊克赛组黑色页岩生烃潜力</w:t>
      </w:r>
      <w:r>
        <w:rPr>
          <w:rFonts w:hint="eastAsia"/>
          <w:color w:val="auto"/>
          <w:lang w:val="en-US" w:eastAsia="zh-CN"/>
        </w:rPr>
        <w:t>，明确有机质富集机理</w:t>
      </w:r>
      <w:r>
        <w:rPr>
          <w:rFonts w:hint="default"/>
          <w:color w:val="auto"/>
          <w:lang w:val="en-US" w:eastAsia="zh-CN"/>
        </w:rPr>
        <w:t>。为准噶尔盆地西北缘石炭系油气勘探提供</w:t>
      </w:r>
      <w:r>
        <w:rPr>
          <w:rFonts w:hint="eastAsia"/>
          <w:color w:val="auto"/>
          <w:lang w:val="en-US" w:eastAsia="zh-CN"/>
        </w:rPr>
        <w:t>依据</w:t>
      </w:r>
      <w:r>
        <w:rPr>
          <w:rFonts w:hint="default"/>
          <w:color w:val="auto"/>
          <w:lang w:val="en-US" w:eastAsia="zh-CN"/>
        </w:rPr>
        <w:t>。</w:t>
      </w:r>
    </w:p>
    <w:p w14:paraId="4B2BAF03">
      <w:pPr>
        <w:spacing w:before="156" w:beforeLines="50" w:after="156" w:afterLines="50" w:line="300" w:lineRule="auto"/>
        <w:ind w:left="0" w:leftChars="0" w:firstLine="0" w:firstLineChars="0"/>
        <w:jc w:val="left"/>
        <w:rPr>
          <w:rFonts w:hint="default" w:ascii="Times New Roman" w:hAnsi="Times New Roman" w:eastAsia="宋体"/>
          <w:b/>
          <w:bCs/>
          <w:color w:val="auto"/>
          <w:sz w:val="28"/>
          <w:lang w:val="en-US" w:eastAsia="zh-CN"/>
        </w:rPr>
      </w:pPr>
      <w:r>
        <w:rPr>
          <w:rFonts w:hint="eastAsia" w:ascii="Times New Roman" w:hAnsi="Times New Roman" w:eastAsia="宋体"/>
          <w:b/>
          <w:bCs/>
          <w:color w:val="auto"/>
          <w:sz w:val="28"/>
          <w:lang w:val="en-US" w:eastAsia="zh-CN"/>
        </w:rPr>
        <w:t>2</w:t>
      </w:r>
      <w:r>
        <w:rPr>
          <w:rFonts w:hint="eastAsia"/>
          <w:b/>
          <w:bCs/>
          <w:color w:val="auto"/>
          <w:sz w:val="28"/>
          <w:lang w:val="en-US" w:eastAsia="zh-CN"/>
        </w:rPr>
        <w:t>.</w:t>
      </w:r>
      <w:r>
        <w:rPr>
          <w:rFonts w:hint="eastAsia" w:ascii="Times New Roman" w:hAnsi="Times New Roman" w:eastAsia="宋体"/>
          <w:b/>
          <w:bCs/>
          <w:color w:val="auto"/>
          <w:sz w:val="28"/>
          <w:lang w:val="en-US" w:eastAsia="zh-CN"/>
        </w:rPr>
        <w:t xml:space="preserve">  </w:t>
      </w:r>
      <w:r>
        <w:rPr>
          <w:rFonts w:hint="eastAsia" w:ascii="Times New Roman" w:hAnsi="Times New Roman"/>
          <w:b/>
          <w:bCs/>
          <w:color w:val="auto"/>
          <w:sz w:val="28"/>
          <w:lang w:val="en-US" w:eastAsia="zh-CN"/>
        </w:rPr>
        <w:t>研究</w:t>
      </w:r>
      <w:r>
        <w:rPr>
          <w:rFonts w:hint="eastAsia" w:ascii="Times New Roman" w:hAnsi="Times New Roman" w:eastAsia="宋体"/>
          <w:b/>
          <w:bCs/>
          <w:color w:val="auto"/>
          <w:sz w:val="28"/>
          <w:lang w:val="en-US" w:eastAsia="zh-CN"/>
        </w:rPr>
        <w:t>现状</w:t>
      </w:r>
    </w:p>
    <w:p w14:paraId="3B948CD2">
      <w:pPr>
        <w:keepNext w:val="0"/>
        <w:keepLines w:val="0"/>
        <w:pageBreakBefore w:val="0"/>
        <w:widowControl w:val="0"/>
        <w:kinsoku/>
        <w:wordWrap/>
        <w:overflowPunct/>
        <w:topLinePunct w:val="0"/>
        <w:autoSpaceDE/>
        <w:autoSpaceDN/>
        <w:bidi w:val="0"/>
        <w:adjustRightInd/>
        <w:snapToGrid/>
        <w:jc w:val="both"/>
        <w:textAlignment w:val="auto"/>
        <w:rPr>
          <w:rFonts w:hint="default" w:eastAsia="宋体"/>
          <w:color w:val="auto"/>
          <w:lang w:val="en-US" w:eastAsia="zh-CN"/>
        </w:rPr>
      </w:pPr>
      <w:r>
        <w:rPr>
          <w:rFonts w:hint="eastAsia"/>
          <w:color w:val="auto"/>
        </w:rPr>
        <w:t>沉积有机质的形成与保存是涉及多相态物质转化的复杂地球化学过程。</w:t>
      </w:r>
      <w:r>
        <w:rPr>
          <w:rFonts w:hint="eastAsia"/>
          <w:color w:val="auto"/>
          <w:lang w:val="en-US" w:eastAsia="zh-CN"/>
        </w:rPr>
        <w:t>前人研究认为有机质</w:t>
      </w:r>
      <w:r>
        <w:rPr>
          <w:rFonts w:hint="eastAsia"/>
          <w:color w:val="auto"/>
        </w:rPr>
        <w:t>富集主要受古生产力、水体氧化还原条件、陆源输入等因素的控制</w:t>
      </w:r>
      <w:r>
        <w:rPr>
          <w:rFonts w:hint="eastAsia"/>
          <w:color w:val="auto"/>
          <w:lang w:eastAsia="zh-CN"/>
        </w:rPr>
        <w:t>，</w:t>
      </w:r>
      <w:r>
        <w:rPr>
          <w:rFonts w:hint="eastAsia"/>
          <w:color w:val="auto"/>
          <w:lang w:val="en-US" w:eastAsia="zh-CN"/>
        </w:rPr>
        <w:t>并建立了两种经典的有机质富集模式：一是生物生产力主导的有机质富集模式、二是保存条件主导的有机质富集模式。前人的研究主要针对海相和深湖相页岩，而对于海陆过渡环境页岩有机质富集研究较为薄弱。</w:t>
      </w:r>
    </w:p>
    <w:p w14:paraId="10FCEBF5">
      <w:pPr>
        <w:spacing w:before="156" w:beforeLines="50" w:after="156" w:afterLines="50" w:line="300" w:lineRule="auto"/>
        <w:ind w:left="0" w:leftChars="0" w:firstLine="0" w:firstLineChars="0"/>
        <w:jc w:val="left"/>
        <w:rPr>
          <w:rFonts w:hint="default" w:ascii="Times New Roman" w:hAnsi="Times New Roman" w:eastAsia="宋体"/>
          <w:b/>
          <w:bCs/>
          <w:color w:val="auto"/>
          <w:sz w:val="28"/>
          <w:lang w:val="en-US" w:eastAsia="zh-CN"/>
        </w:rPr>
      </w:pPr>
      <w:r>
        <w:rPr>
          <w:rFonts w:hint="eastAsia"/>
          <w:b/>
          <w:bCs/>
          <w:color w:val="auto"/>
          <w:sz w:val="28"/>
          <w:lang w:val="en-US" w:eastAsia="zh-CN"/>
        </w:rPr>
        <w:t>3.</w:t>
      </w:r>
      <w:r>
        <w:rPr>
          <w:rFonts w:hint="eastAsia" w:ascii="Times New Roman" w:hAnsi="Times New Roman" w:eastAsia="宋体"/>
          <w:b/>
          <w:bCs/>
          <w:color w:val="auto"/>
          <w:sz w:val="28"/>
          <w:lang w:val="en-US" w:eastAsia="zh-CN"/>
        </w:rPr>
        <w:t xml:space="preserve">  </w:t>
      </w:r>
      <w:r>
        <w:rPr>
          <w:rFonts w:hint="eastAsia" w:ascii="Times New Roman" w:hAnsi="Times New Roman"/>
          <w:b/>
          <w:bCs/>
          <w:color w:val="auto"/>
          <w:sz w:val="28"/>
          <w:lang w:val="en-US" w:eastAsia="zh-CN"/>
        </w:rPr>
        <w:t>实验分析</w:t>
      </w:r>
    </w:p>
    <w:p w14:paraId="2A96201E">
      <w:pPr>
        <w:spacing w:before="156" w:beforeLines="50" w:after="156" w:afterLines="50" w:line="300" w:lineRule="auto"/>
        <w:ind w:left="0" w:leftChars="0" w:firstLine="0" w:firstLineChars="0"/>
        <w:jc w:val="left"/>
        <w:rPr>
          <w:rFonts w:hint="eastAsia" w:ascii="Times New Roman" w:hAnsi="Times New Roman"/>
          <w:b/>
          <w:bCs/>
          <w:color w:val="auto"/>
          <w:sz w:val="24"/>
          <w:lang w:val="en-US" w:eastAsia="zh-CN"/>
        </w:rPr>
      </w:pPr>
      <w:r>
        <w:rPr>
          <w:rFonts w:ascii="Times New Roman" w:hAnsi="Times New Roman"/>
          <w:b/>
          <w:bCs/>
          <w:color w:val="auto"/>
          <w:sz w:val="24"/>
        </w:rPr>
        <w:t>3</w:t>
      </w:r>
      <w:r>
        <w:rPr>
          <w:rFonts w:hint="eastAsia" w:ascii="Times New Roman" w:hAnsi="Times New Roman"/>
          <w:b/>
          <w:bCs/>
          <w:color w:val="auto"/>
          <w:sz w:val="24"/>
        </w:rPr>
        <w:t>.1</w:t>
      </w:r>
      <w:r>
        <w:rPr>
          <w:rFonts w:hint="eastAsia" w:ascii="Times New Roman" w:hAnsi="Times New Roman"/>
          <w:b/>
          <w:bCs/>
          <w:color w:val="auto"/>
          <w:sz w:val="24"/>
          <w:lang w:val="en-US" w:eastAsia="zh-CN"/>
        </w:rPr>
        <w:t xml:space="preserve">  有机地球化学特征</w:t>
      </w:r>
    </w:p>
    <w:p w14:paraId="5E7FA016">
      <w:pPr>
        <w:bidi w:val="0"/>
        <w:jc w:val="left"/>
        <w:rPr>
          <w:rFonts w:hint="eastAsia"/>
          <w:color w:val="auto"/>
          <w:lang w:val="en-US" w:eastAsia="zh-CN"/>
        </w:rPr>
      </w:pPr>
      <w:r>
        <w:rPr>
          <w:rFonts w:hint="eastAsia"/>
          <w:color w:val="auto"/>
          <w:lang w:val="en-US" w:eastAsia="zh-CN"/>
        </w:rPr>
        <w:t>利用岩石热解、干酪根显微组分、镜质体反射率等数据，从有机质丰度、类型、成熟度三个方面评价阿腊德依克赛组黑色页岩“残留”地球化学特征，发现阿腊德依克赛组黑色页岩有机质类型主要是</w:t>
      </w:r>
      <w:r>
        <w:rPr>
          <w:rFonts w:hint="default" w:ascii="Times New Roman" w:hAnsi="Times New Roman" w:cs="Times New Roman"/>
          <w:b w:val="0"/>
          <w:bCs w:val="0"/>
          <w:color w:val="auto"/>
          <w:sz w:val="24"/>
          <w:szCs w:val="24"/>
        </w:rPr>
        <w:t>Ⅲ</w:t>
      </w:r>
      <w:r>
        <w:rPr>
          <w:rFonts w:hint="eastAsia"/>
          <w:color w:val="auto"/>
          <w:lang w:val="en-US" w:eastAsia="zh-CN"/>
        </w:rPr>
        <w:t>型，包含少量的</w:t>
      </w:r>
      <w:r>
        <w:rPr>
          <w:rFonts w:hint="default" w:ascii="Times New Roman" w:hAnsi="Times New Roman" w:cs="Times New Roman"/>
          <w:b w:val="0"/>
          <w:bCs w:val="0"/>
          <w:color w:val="auto"/>
          <w:sz w:val="24"/>
          <w:szCs w:val="24"/>
        </w:rPr>
        <w:t>Ⅱ</w:t>
      </w:r>
      <w:r>
        <w:rPr>
          <w:rFonts w:hint="default" w:ascii="Times New Roman" w:hAnsi="Times New Roman" w:cs="Times New Roman"/>
          <w:b w:val="0"/>
          <w:bCs w:val="0"/>
          <w:color w:val="auto"/>
          <w:sz w:val="21"/>
          <w:szCs w:val="21"/>
          <w:vertAlign w:val="subscript"/>
        </w:rPr>
        <w:t>2</w:t>
      </w:r>
      <w:r>
        <w:rPr>
          <w:rFonts w:hint="eastAsia"/>
          <w:color w:val="auto"/>
          <w:lang w:val="en-US" w:eastAsia="zh-CN"/>
        </w:rPr>
        <w:t>型。有机质热演化程度较高，普遍达到高-过成熟阶段。残余有机质丰度较低，60%以上样品属于非-差烃源岩。</w:t>
      </w:r>
    </w:p>
    <w:tbl>
      <w:tblPr>
        <w:tblStyle w:val="9"/>
        <w:tblW w:w="10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58"/>
        <w:gridCol w:w="5159"/>
      </w:tblGrid>
      <w:tr w14:paraId="5D89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58" w:type="dxa"/>
            <w:vAlign w:val="center"/>
          </w:tcPr>
          <w:p w14:paraId="60A17E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vertAlign w:val="baseline"/>
                <w:lang w:val="en-US" w:eastAsia="zh-CN"/>
              </w:rPr>
            </w:pPr>
            <w:r>
              <w:rPr>
                <w:color w:val="auto"/>
              </w:rPr>
              <w:drawing>
                <wp:inline distT="0" distB="0" distL="114300" distR="114300">
                  <wp:extent cx="3001645" cy="2488565"/>
                  <wp:effectExtent l="0" t="0" r="10160" b="5080"/>
                  <wp:docPr id="3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159" w:type="dxa"/>
            <w:vAlign w:val="center"/>
          </w:tcPr>
          <w:p w14:paraId="31D469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vertAlign w:val="baseline"/>
                <w:lang w:val="en-US" w:eastAsia="zh-CN"/>
              </w:rPr>
            </w:pPr>
            <w:r>
              <w:rPr>
                <w:color w:val="auto"/>
              </w:rPr>
              <w:drawing>
                <wp:inline distT="0" distB="0" distL="114300" distR="114300">
                  <wp:extent cx="2932430" cy="2375535"/>
                  <wp:effectExtent l="0" t="0" r="3810" b="1016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14:paraId="317A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jc w:val="center"/>
        </w:trPr>
        <w:tc>
          <w:tcPr>
            <w:tcW w:w="5158" w:type="dxa"/>
            <w:shd w:val="clear" w:color="auto" w:fill="auto"/>
            <w:vAlign w:val="center"/>
          </w:tcPr>
          <w:p w14:paraId="3340FB9E">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4"/>
                <w:lang w:val="en-US" w:eastAsia="zh-CN" w:bidi="ar-SA"/>
              </w:rPr>
            </w:pPr>
            <w:r>
              <w:rPr>
                <w:rFonts w:hint="eastAsia"/>
                <w:color w:val="auto"/>
                <w:lang w:val="en-US" w:eastAsia="zh-CN"/>
              </w:rPr>
              <w:t>图3.1 恢复前后TOC—S</w:t>
            </w:r>
            <w:r>
              <w:rPr>
                <w:rFonts w:hint="eastAsia"/>
                <w:color w:val="auto"/>
                <w:vertAlign w:val="subscript"/>
                <w:lang w:val="en-US" w:eastAsia="zh-CN"/>
              </w:rPr>
              <w:t>1</w:t>
            </w:r>
            <w:r>
              <w:rPr>
                <w:rFonts w:hint="eastAsia"/>
                <w:color w:val="auto"/>
                <w:lang w:val="en-US" w:eastAsia="zh-CN"/>
              </w:rPr>
              <w:t>+S</w:t>
            </w:r>
            <w:r>
              <w:rPr>
                <w:rFonts w:hint="eastAsia"/>
                <w:color w:val="auto"/>
                <w:vertAlign w:val="subscript"/>
                <w:lang w:val="en-US" w:eastAsia="zh-CN"/>
              </w:rPr>
              <w:t>2</w:t>
            </w:r>
            <w:r>
              <w:rPr>
                <w:rFonts w:hint="eastAsia"/>
                <w:color w:val="auto"/>
                <w:lang w:val="en-US" w:eastAsia="zh-CN"/>
              </w:rPr>
              <w:t>交汇图</w:t>
            </w:r>
          </w:p>
        </w:tc>
        <w:tc>
          <w:tcPr>
            <w:tcW w:w="5159" w:type="dxa"/>
            <w:shd w:val="clear" w:color="auto" w:fill="auto"/>
            <w:vAlign w:val="center"/>
          </w:tcPr>
          <w:p w14:paraId="41E6721B">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heme="minorBidi"/>
                <w:b/>
                <w:bCs/>
                <w:color w:val="auto"/>
                <w:kern w:val="2"/>
                <w:sz w:val="21"/>
                <w:szCs w:val="24"/>
                <w:lang w:val="en-US" w:eastAsia="zh-CN" w:bidi="ar-SA"/>
              </w:rPr>
            </w:pPr>
            <w:r>
              <w:rPr>
                <w:rFonts w:hint="eastAsia"/>
                <w:color w:val="auto"/>
                <w:lang w:val="en-US" w:eastAsia="zh-CN"/>
              </w:rPr>
              <w:t>图3.2 恢复前后TOC频率分布直方图</w:t>
            </w:r>
          </w:p>
        </w:tc>
      </w:tr>
    </w:tbl>
    <w:p w14:paraId="10CBEBE1">
      <w:pPr>
        <w:bidi w:val="0"/>
        <w:rPr>
          <w:rFonts w:hint="default"/>
          <w:color w:val="auto"/>
          <w:lang w:val="en-US" w:eastAsia="zh-CN"/>
        </w:rPr>
      </w:pPr>
      <w:r>
        <w:rPr>
          <w:rFonts w:hint="eastAsia"/>
          <w:color w:val="auto"/>
          <w:lang w:val="en-US" w:eastAsia="zh-CN"/>
        </w:rPr>
        <w:t>由于页岩热演化程度高，普遍达到高成熟-过成熟阶段，仅依靠残留地球化学数据会极大降低烃源岩生烃潜力和评价准确性。为此，使用物质平衡法、化学动力模型法、降解率法等多种方法，恢复烃源岩原始丰度、原始生烃潜力，并依据有机质类型吻合率，优选降解率法恢复有机质原始丰度和生烃潜力，恢复结果表明，50%以上样品属于中等-好烃源岩，整体上具有不错的生烃潜力</w:t>
      </w:r>
      <w:r>
        <w:rPr>
          <w:rFonts w:hint="eastAsia"/>
          <w:color w:val="auto"/>
          <w:lang w:val="en-US" w:eastAsia="zh-CN"/>
        </w:rPr>
        <w:t>（图3.1~3.2）</w:t>
      </w:r>
      <w:r>
        <w:rPr>
          <w:rFonts w:hint="eastAsia"/>
          <w:color w:val="auto"/>
          <w:lang w:val="en-US" w:eastAsia="zh-CN"/>
        </w:rPr>
        <w:t>。</w:t>
      </w:r>
    </w:p>
    <w:p w14:paraId="1AFE440D">
      <w:pPr>
        <w:spacing w:before="156" w:beforeLines="50" w:after="156" w:afterLines="50" w:line="300" w:lineRule="auto"/>
        <w:ind w:left="0" w:leftChars="0" w:firstLine="0" w:firstLineChars="0"/>
        <w:jc w:val="left"/>
        <w:rPr>
          <w:rFonts w:hint="eastAsia" w:ascii="Times New Roman" w:hAnsi="Times New Roman"/>
          <w:b/>
          <w:bCs/>
          <w:color w:val="auto"/>
          <w:sz w:val="24"/>
          <w:lang w:val="en-US" w:eastAsia="zh-CN"/>
        </w:rPr>
      </w:pPr>
      <w:r>
        <w:rPr>
          <w:rFonts w:hint="eastAsia" w:ascii="Times New Roman" w:hAnsi="Times New Roman"/>
          <w:b/>
          <w:bCs/>
          <w:color w:val="auto"/>
          <w:sz w:val="24"/>
          <w:lang w:val="en-US" w:eastAsia="zh-CN"/>
        </w:rPr>
        <w:t>3.2  沉积古环境恢复</w:t>
      </w:r>
    </w:p>
    <w:p w14:paraId="2EF917C5">
      <w:pPr>
        <w:rPr>
          <w:rFonts w:hint="default"/>
          <w:color w:val="auto"/>
          <w:lang w:val="en-US" w:eastAsia="zh-CN"/>
        </w:rPr>
      </w:pPr>
      <w:r>
        <w:rPr>
          <w:rFonts w:hint="eastAsia"/>
          <w:color w:val="auto"/>
          <w:lang w:val="en-US" w:eastAsia="zh-CN"/>
        </w:rPr>
        <w:t>1）沉积期古气候及母岩性质</w:t>
      </w:r>
    </w:p>
    <w:p w14:paraId="5CFFBBDA">
      <w:pPr>
        <w:rPr>
          <w:rFonts w:hint="eastAsia"/>
          <w:color w:val="auto"/>
          <w:lang w:val="en-US" w:eastAsia="zh-CN"/>
        </w:rPr>
      </w:pPr>
      <w:r>
        <w:rPr>
          <w:rFonts w:hint="eastAsia"/>
          <w:color w:val="auto"/>
          <w:lang w:val="en-US" w:eastAsia="zh-CN"/>
        </w:rPr>
        <w:t>阿腊德依克赛组黑色页岩沉积于湿润-半干旱气候下，半干旱气候可能与阶段性火山作用有关。其母岩基本未经受沉积再旋回作用，母岩全部来源于火山岩，主要是中性-酸性岩浆岩类，并且在沉积期遭受了弱-中等程度的风化。</w:t>
      </w:r>
    </w:p>
    <w:tbl>
      <w:tblPr>
        <w:tblStyle w:val="9"/>
        <w:tblW w:w="10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58"/>
        <w:gridCol w:w="5159"/>
      </w:tblGrid>
      <w:tr w14:paraId="5C88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jc w:val="center"/>
        </w:trPr>
        <w:tc>
          <w:tcPr>
            <w:tcW w:w="5158" w:type="dxa"/>
            <w:vAlign w:val="center"/>
          </w:tcPr>
          <w:p w14:paraId="15E307EA">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drawing>
                <wp:inline distT="0" distB="0" distL="114300" distR="114300">
                  <wp:extent cx="2699385" cy="2139315"/>
                  <wp:effectExtent l="0" t="0" r="10160" b="8890"/>
                  <wp:docPr id="1" name="图片 1" descr="A-CN-K-清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CN-K-清绘"/>
                          <pic:cNvPicPr>
                            <a:picLocks noChangeAspect="1"/>
                          </pic:cNvPicPr>
                        </pic:nvPicPr>
                        <pic:blipFill>
                          <a:blip r:embed="rId12"/>
                          <a:srcRect l="4465" t="8367" r="12612" b="5818"/>
                          <a:stretch>
                            <a:fillRect/>
                          </a:stretch>
                        </pic:blipFill>
                        <pic:spPr>
                          <a:xfrm>
                            <a:off x="0" y="0"/>
                            <a:ext cx="2699385" cy="2139315"/>
                          </a:xfrm>
                          <a:prstGeom prst="rect">
                            <a:avLst/>
                          </a:prstGeom>
                        </pic:spPr>
                      </pic:pic>
                    </a:graphicData>
                  </a:graphic>
                </wp:inline>
              </w:drawing>
            </w:r>
          </w:p>
        </w:tc>
        <w:tc>
          <w:tcPr>
            <w:tcW w:w="5159" w:type="dxa"/>
            <w:vAlign w:val="center"/>
          </w:tcPr>
          <w:p w14:paraId="2416203C">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drawing>
                <wp:inline distT="0" distB="0" distL="114300" distR="114300">
                  <wp:extent cx="2421890" cy="2163445"/>
                  <wp:effectExtent l="0" t="0" r="6985" b="6350"/>
                  <wp:docPr id="60" name="图片 60" descr="母岩性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母岩性质-2"/>
                          <pic:cNvPicPr>
                            <a:picLocks noChangeAspect="1"/>
                          </pic:cNvPicPr>
                        </pic:nvPicPr>
                        <pic:blipFill>
                          <a:blip r:embed="rId13"/>
                          <a:stretch>
                            <a:fillRect/>
                          </a:stretch>
                        </pic:blipFill>
                        <pic:spPr>
                          <a:xfrm>
                            <a:off x="0" y="0"/>
                            <a:ext cx="2421890" cy="2163445"/>
                          </a:xfrm>
                          <a:prstGeom prst="rect">
                            <a:avLst/>
                          </a:prstGeom>
                        </pic:spPr>
                      </pic:pic>
                    </a:graphicData>
                  </a:graphic>
                </wp:inline>
              </w:drawing>
            </w:r>
          </w:p>
        </w:tc>
      </w:tr>
      <w:tr w14:paraId="3361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58" w:type="dxa"/>
            <w:vAlign w:val="center"/>
          </w:tcPr>
          <w:p w14:paraId="2CC9BD7B">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t>图3.3 黑色页岩A-CN-K三角图</w:t>
            </w:r>
          </w:p>
        </w:tc>
        <w:tc>
          <w:tcPr>
            <w:tcW w:w="5159" w:type="dxa"/>
            <w:vAlign w:val="center"/>
          </w:tcPr>
          <w:p w14:paraId="2C64A5B8">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t>图3.4 黑色页岩Al</w:t>
            </w:r>
            <w:r>
              <w:rPr>
                <w:rFonts w:hint="eastAsia"/>
                <w:color w:val="auto"/>
                <w:vertAlign w:val="subscript"/>
                <w:lang w:val="en-US" w:eastAsia="zh-CN"/>
              </w:rPr>
              <w:t>2</w:t>
            </w:r>
            <w:r>
              <w:rPr>
                <w:rFonts w:hint="eastAsia"/>
                <w:color w:val="auto"/>
                <w:lang w:val="en-US" w:eastAsia="zh-CN"/>
              </w:rPr>
              <w:t>O</w:t>
            </w:r>
            <w:r>
              <w:rPr>
                <w:rFonts w:hint="eastAsia"/>
                <w:color w:val="auto"/>
                <w:vertAlign w:val="subscript"/>
                <w:lang w:val="en-US" w:eastAsia="zh-CN"/>
              </w:rPr>
              <w:t>3</w:t>
            </w:r>
            <w:r>
              <w:rPr>
                <w:rFonts w:hint="eastAsia"/>
                <w:color w:val="auto"/>
                <w:lang w:val="en-US" w:eastAsia="zh-CN"/>
              </w:rPr>
              <w:t>－TiO</w:t>
            </w:r>
            <w:r>
              <w:rPr>
                <w:rFonts w:hint="eastAsia"/>
                <w:color w:val="auto"/>
                <w:vertAlign w:val="subscript"/>
                <w:lang w:val="en-US" w:eastAsia="zh-CN"/>
              </w:rPr>
              <w:t>2</w:t>
            </w:r>
            <w:r>
              <w:rPr>
                <w:rFonts w:hint="eastAsia"/>
                <w:color w:val="auto"/>
                <w:lang w:val="en-US" w:eastAsia="zh-CN"/>
              </w:rPr>
              <w:t>散点图</w:t>
            </w:r>
            <w:bookmarkStart w:id="0" w:name="_GoBack"/>
            <w:bookmarkEnd w:id="0"/>
          </w:p>
        </w:tc>
      </w:tr>
    </w:tbl>
    <w:p w14:paraId="240B3E8C">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00" w:lineRule="auto"/>
        <w:textAlignment w:val="auto"/>
        <w:rPr>
          <w:rFonts w:hint="eastAsia"/>
          <w:color w:val="auto"/>
          <w:lang w:val="en-US" w:eastAsia="zh-CN"/>
        </w:rPr>
      </w:pPr>
      <w:r>
        <w:rPr>
          <w:rFonts w:hint="eastAsia"/>
          <w:color w:val="auto"/>
          <w:lang w:val="en-US" w:eastAsia="zh-CN"/>
        </w:rPr>
        <w:t>沉积期古环境条件</w:t>
      </w:r>
    </w:p>
    <w:p w14:paraId="6A85EDA3">
      <w:pPr>
        <w:bidi w:val="0"/>
        <w:rPr>
          <w:rFonts w:hint="default"/>
          <w:color w:val="auto"/>
          <w:lang w:val="en-US" w:eastAsia="zh-CN"/>
        </w:rPr>
      </w:pPr>
      <w:r>
        <w:rPr>
          <w:rFonts w:hint="eastAsia"/>
          <w:color w:val="auto"/>
          <w:lang w:val="en-US" w:eastAsia="zh-CN"/>
        </w:rPr>
        <w:t>基于主、微量元素分析数据，恢复页岩沉积期的氧化还原条件、生物生产力、陆源碎屑输入、水深变化、热液作用等古环境条件。恢复结果表明，阿腊德依克赛组黑色页岩沉积期水体处于贫氧-氧化状态</w:t>
      </w:r>
      <w:r>
        <w:rPr>
          <w:rFonts w:hint="eastAsia"/>
          <w:color w:val="auto"/>
          <w:lang w:val="en-US" w:eastAsia="zh-CN"/>
        </w:rPr>
        <w:t>（图3.5）</w:t>
      </w:r>
      <w:r>
        <w:rPr>
          <w:rFonts w:hint="eastAsia"/>
          <w:color w:val="auto"/>
          <w:lang w:val="en-US" w:eastAsia="zh-CN"/>
        </w:rPr>
        <w:t>，并且未受到热液活动的影响</w:t>
      </w:r>
      <w:r>
        <w:rPr>
          <w:rFonts w:hint="eastAsia"/>
          <w:color w:val="auto"/>
          <w:lang w:val="en-US" w:eastAsia="zh-CN"/>
        </w:rPr>
        <w:t>（图3.6）</w:t>
      </w:r>
      <w:r>
        <w:rPr>
          <w:rFonts w:hint="eastAsia"/>
          <w:color w:val="auto"/>
          <w:lang w:val="en-US" w:eastAsia="zh-CN"/>
        </w:rPr>
        <w:t>，水体古生产力水平极低，不是控制有机质富集的主要因素。陆源碎屑输入指标和水体深度指标与TOC存在一定相关性，反映水深和陆源输入对于有机质富集的控制作用（</w:t>
      </w:r>
      <w:r>
        <w:rPr>
          <w:rFonts w:hint="eastAsia"/>
          <w:color w:val="auto"/>
          <w:lang w:val="en-US" w:eastAsia="zh-CN"/>
        </w:rPr>
        <w:t>图3.7）。</w:t>
      </w:r>
    </w:p>
    <w:tbl>
      <w:tblPr>
        <w:tblStyle w:val="9"/>
        <w:tblW w:w="99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95"/>
        <w:gridCol w:w="4996"/>
      </w:tblGrid>
      <w:tr w14:paraId="511A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10" w:hRule="atLeast"/>
          <w:jc w:val="center"/>
        </w:trPr>
        <w:tc>
          <w:tcPr>
            <w:tcW w:w="4995" w:type="dxa"/>
            <w:vAlign w:val="center"/>
          </w:tcPr>
          <w:p w14:paraId="27B30A6F">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drawing>
                <wp:inline distT="0" distB="0" distL="114300" distR="114300">
                  <wp:extent cx="2431415" cy="1949450"/>
                  <wp:effectExtent l="0" t="0" r="8255" b="4445"/>
                  <wp:docPr id="63" name="图片 63" descr="氧化还原条件-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氧化还原条件-3"/>
                          <pic:cNvPicPr>
                            <a:picLocks noChangeAspect="1"/>
                          </pic:cNvPicPr>
                        </pic:nvPicPr>
                        <pic:blipFill>
                          <a:blip r:embed="rId14"/>
                          <a:stretch>
                            <a:fillRect/>
                          </a:stretch>
                        </pic:blipFill>
                        <pic:spPr>
                          <a:xfrm>
                            <a:off x="0" y="0"/>
                            <a:ext cx="2431415" cy="1949450"/>
                          </a:xfrm>
                          <a:prstGeom prst="rect">
                            <a:avLst/>
                          </a:prstGeom>
                        </pic:spPr>
                      </pic:pic>
                    </a:graphicData>
                  </a:graphic>
                </wp:inline>
              </w:drawing>
            </w:r>
          </w:p>
        </w:tc>
        <w:tc>
          <w:tcPr>
            <w:tcW w:w="4996" w:type="dxa"/>
            <w:vAlign w:val="center"/>
          </w:tcPr>
          <w:p w14:paraId="7CA8EF59">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drawing>
                <wp:inline distT="0" distB="0" distL="114300" distR="114300">
                  <wp:extent cx="2625725" cy="1951990"/>
                  <wp:effectExtent l="0" t="0" r="8255" b="1905"/>
                  <wp:docPr id="54" name="图片 54" descr="热液活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热液活动1"/>
                          <pic:cNvPicPr>
                            <a:picLocks noChangeAspect="1"/>
                          </pic:cNvPicPr>
                        </pic:nvPicPr>
                        <pic:blipFill>
                          <a:blip r:embed="rId15"/>
                          <a:stretch>
                            <a:fillRect/>
                          </a:stretch>
                        </pic:blipFill>
                        <pic:spPr>
                          <a:xfrm>
                            <a:off x="0" y="0"/>
                            <a:ext cx="2625725" cy="1951990"/>
                          </a:xfrm>
                          <a:prstGeom prst="rect">
                            <a:avLst/>
                          </a:prstGeom>
                        </pic:spPr>
                      </pic:pic>
                    </a:graphicData>
                  </a:graphic>
                </wp:inline>
              </w:drawing>
            </w:r>
          </w:p>
        </w:tc>
      </w:tr>
      <w:tr w14:paraId="763C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1" w:hRule="atLeast"/>
          <w:jc w:val="center"/>
        </w:trPr>
        <w:tc>
          <w:tcPr>
            <w:tcW w:w="4995" w:type="dxa"/>
            <w:vAlign w:val="center"/>
          </w:tcPr>
          <w:p w14:paraId="0A78F5F3">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t xml:space="preserve">图3.5 </w:t>
            </w:r>
            <w:r>
              <w:rPr>
                <w:rFonts w:hint="default"/>
                <w:color w:val="auto"/>
                <w:lang w:val="en-US" w:eastAsia="zh-CN"/>
              </w:rPr>
              <w:t>V/Cr-V/(V+Ni)</w:t>
            </w:r>
            <w:r>
              <w:rPr>
                <w:color w:val="auto"/>
                <w:lang w:val="en-US" w:eastAsia="zh-CN"/>
              </w:rPr>
              <w:t>交汇图</w:t>
            </w:r>
          </w:p>
        </w:tc>
        <w:tc>
          <w:tcPr>
            <w:tcW w:w="4996" w:type="dxa"/>
            <w:vAlign w:val="center"/>
          </w:tcPr>
          <w:p w14:paraId="14FF7D0B">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t>图3.6 热液活动判别交汇图</w:t>
            </w:r>
          </w:p>
        </w:tc>
      </w:tr>
      <w:tr w14:paraId="26A4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300" w:hRule="atLeast"/>
          <w:jc w:val="center"/>
        </w:trPr>
        <w:tc>
          <w:tcPr>
            <w:tcW w:w="9991" w:type="dxa"/>
            <w:gridSpan w:val="2"/>
            <w:vAlign w:val="center"/>
          </w:tcPr>
          <w:p w14:paraId="7C9E3700">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drawing>
                <wp:inline distT="0" distB="0" distL="114300" distR="114300">
                  <wp:extent cx="6198870" cy="2700020"/>
                  <wp:effectExtent l="0" t="0" r="8255" b="9525"/>
                  <wp:docPr id="21" name="图片 21" descr="纵向特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纵向特征"/>
                          <pic:cNvPicPr>
                            <a:picLocks noChangeAspect="1"/>
                          </pic:cNvPicPr>
                        </pic:nvPicPr>
                        <pic:blipFill>
                          <a:blip r:embed="rId16"/>
                          <a:stretch>
                            <a:fillRect/>
                          </a:stretch>
                        </pic:blipFill>
                        <pic:spPr>
                          <a:xfrm>
                            <a:off x="0" y="0"/>
                            <a:ext cx="6198870" cy="2700020"/>
                          </a:xfrm>
                          <a:prstGeom prst="rect">
                            <a:avLst/>
                          </a:prstGeom>
                        </pic:spPr>
                      </pic:pic>
                    </a:graphicData>
                  </a:graphic>
                </wp:inline>
              </w:drawing>
            </w:r>
          </w:p>
        </w:tc>
      </w:tr>
      <w:tr w14:paraId="2B2B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1" w:hRule="atLeast"/>
          <w:jc w:val="center"/>
        </w:trPr>
        <w:tc>
          <w:tcPr>
            <w:tcW w:w="9991" w:type="dxa"/>
            <w:gridSpan w:val="2"/>
            <w:vAlign w:val="center"/>
          </w:tcPr>
          <w:p w14:paraId="77008DFA">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t>图3.7 古环境指标与TOC纵向分布特征</w:t>
            </w:r>
          </w:p>
        </w:tc>
      </w:tr>
    </w:tbl>
    <w:p w14:paraId="70397586">
      <w:pPr>
        <w:spacing w:before="156" w:beforeLines="50" w:after="156" w:afterLines="50" w:line="300" w:lineRule="auto"/>
        <w:ind w:left="0" w:leftChars="0" w:firstLine="0" w:firstLineChars="0"/>
        <w:jc w:val="left"/>
        <w:rPr>
          <w:rFonts w:hint="default" w:ascii="Times New Roman" w:hAnsi="Times New Roman"/>
          <w:b/>
          <w:bCs/>
          <w:color w:val="auto"/>
          <w:sz w:val="24"/>
          <w:lang w:val="en-US" w:eastAsia="zh-CN"/>
        </w:rPr>
      </w:pPr>
      <w:r>
        <w:rPr>
          <w:rFonts w:hint="eastAsia" w:ascii="Times New Roman" w:hAnsi="Times New Roman"/>
          <w:b/>
          <w:bCs/>
          <w:color w:val="auto"/>
          <w:sz w:val="24"/>
          <w:lang w:val="en-US" w:eastAsia="zh-CN"/>
        </w:rPr>
        <w:t>3.3  有机质富集机理</w:t>
      </w:r>
    </w:p>
    <w:p w14:paraId="1DD7C0C5">
      <w:pPr>
        <w:rPr>
          <w:rFonts w:hint="eastAsia"/>
          <w:color w:val="auto"/>
          <w:lang w:val="en-US" w:eastAsia="zh-CN"/>
        </w:rPr>
      </w:pPr>
      <w:r>
        <w:rPr>
          <w:rFonts w:hint="eastAsia"/>
          <w:color w:val="auto"/>
          <w:lang w:val="en-US" w:eastAsia="zh-CN"/>
        </w:rPr>
        <w:t>从古气候条件、母岩风化特征、</w:t>
      </w:r>
      <w:r>
        <w:rPr>
          <w:rFonts w:hint="default"/>
          <w:color w:val="auto"/>
          <w:lang w:val="en-US" w:eastAsia="zh-CN"/>
        </w:rPr>
        <w:t>古氧化还原条件、古生产力、陆源碎屑输入</w:t>
      </w:r>
      <w:r>
        <w:rPr>
          <w:rFonts w:hint="eastAsia"/>
          <w:color w:val="auto"/>
          <w:lang w:val="en-US" w:eastAsia="zh-CN"/>
        </w:rPr>
        <w:t>以及水体深度六</w:t>
      </w:r>
      <w:r>
        <w:rPr>
          <w:rFonts w:hint="default"/>
          <w:color w:val="auto"/>
          <w:lang w:val="en-US" w:eastAsia="zh-CN"/>
        </w:rPr>
        <w:t>个方面</w:t>
      </w:r>
      <w:r>
        <w:rPr>
          <w:rFonts w:hint="eastAsia"/>
          <w:color w:val="auto"/>
          <w:lang w:val="en-US" w:eastAsia="zh-CN"/>
        </w:rPr>
        <w:t>，</w:t>
      </w:r>
      <w:r>
        <w:rPr>
          <w:rFonts w:hint="default"/>
          <w:color w:val="auto"/>
          <w:lang w:val="en-US" w:eastAsia="zh-CN"/>
        </w:rPr>
        <w:t>对</w:t>
      </w:r>
      <w:r>
        <w:rPr>
          <w:rFonts w:hint="eastAsia"/>
          <w:color w:val="auto"/>
          <w:lang w:val="en-US" w:eastAsia="zh-CN"/>
        </w:rPr>
        <w:t>玛湖55井阿腊德依克赛组黑色页岩</w:t>
      </w:r>
      <w:r>
        <w:rPr>
          <w:rFonts w:hint="default"/>
          <w:color w:val="auto"/>
          <w:lang w:val="en-US" w:eastAsia="zh-CN"/>
        </w:rPr>
        <w:t>有机质富集主控因素展开综合分析。</w:t>
      </w:r>
      <w:r>
        <w:rPr>
          <w:rFonts w:hint="eastAsia"/>
          <w:color w:val="auto"/>
          <w:lang w:val="en-US" w:eastAsia="zh-CN"/>
        </w:rPr>
        <w:t>综合认为：研究区有机质的富集主要受到保存条件和陆源碎屑输入协同控制，宏观上受到水深和古气候影响。</w:t>
      </w:r>
    </w:p>
    <w:p w14:paraId="056569D6">
      <w:pPr>
        <w:numPr>
          <w:ilvl w:val="0"/>
          <w:numId w:val="0"/>
        </w:numPr>
        <w:ind w:firstLine="480" w:firstLineChars="200"/>
        <w:rPr>
          <w:rFonts w:hint="eastAsia"/>
          <w:color w:val="auto"/>
          <w:lang w:val="en-US" w:eastAsia="zh-CN"/>
        </w:rPr>
      </w:pPr>
      <w:r>
        <w:rPr>
          <w:rFonts w:hint="default"/>
          <w:color w:val="auto"/>
          <w:lang w:val="en-US" w:eastAsia="zh-CN"/>
        </w:rPr>
        <w:t>基于黑色页岩有机地化特征和沉积古环境恢复结果，将目的层黑色页岩分为下段和上段</w:t>
      </w:r>
      <w:r>
        <w:rPr>
          <w:rFonts w:hint="eastAsia"/>
          <w:color w:val="auto"/>
          <w:lang w:val="en-US" w:eastAsia="zh-CN"/>
        </w:rPr>
        <w:t>（</w:t>
      </w:r>
      <w:r>
        <w:rPr>
          <w:rFonts w:hint="eastAsia"/>
          <w:color w:val="auto"/>
          <w:lang w:val="en-US" w:eastAsia="zh-CN"/>
        </w:rPr>
        <w:t>图3.7）</w:t>
      </w:r>
      <w:r>
        <w:rPr>
          <w:rFonts w:hint="default"/>
          <w:color w:val="auto"/>
          <w:lang w:val="en-US" w:eastAsia="zh-CN"/>
        </w:rPr>
        <w:t>，</w:t>
      </w:r>
      <w:r>
        <w:rPr>
          <w:rFonts w:hint="eastAsia"/>
          <w:color w:val="auto"/>
          <w:lang w:val="en-US" w:eastAsia="zh-CN"/>
        </w:rPr>
        <w:t>并</w:t>
      </w:r>
      <w:r>
        <w:rPr>
          <w:rFonts w:hint="default"/>
          <w:color w:val="auto"/>
          <w:lang w:val="en-US" w:eastAsia="zh-CN"/>
        </w:rPr>
        <w:t>总结出火山干热环境、</w:t>
      </w:r>
      <w:r>
        <w:rPr>
          <w:rFonts w:hint="eastAsia"/>
          <w:color w:val="auto"/>
          <w:lang w:val="en-US" w:eastAsia="zh-CN"/>
        </w:rPr>
        <w:t>温暖湿润</w:t>
      </w:r>
      <w:r>
        <w:rPr>
          <w:rFonts w:hint="default"/>
          <w:color w:val="auto"/>
          <w:lang w:val="en-US" w:eastAsia="zh-CN"/>
        </w:rPr>
        <w:t>动荡浅水、</w:t>
      </w:r>
      <w:r>
        <w:rPr>
          <w:rFonts w:hint="eastAsia"/>
          <w:color w:val="auto"/>
          <w:lang w:val="en-US" w:eastAsia="zh-CN"/>
        </w:rPr>
        <w:t>温暖湿润</w:t>
      </w:r>
      <w:r>
        <w:rPr>
          <w:rFonts w:hint="default"/>
          <w:color w:val="auto"/>
          <w:lang w:val="en-US" w:eastAsia="zh-CN"/>
        </w:rPr>
        <w:t>稳定较深水</w:t>
      </w:r>
      <w:r>
        <w:rPr>
          <w:rFonts w:hint="eastAsia"/>
          <w:color w:val="auto"/>
          <w:lang w:val="en-US" w:eastAsia="zh-CN"/>
        </w:rPr>
        <w:t>3</w:t>
      </w:r>
      <w:r>
        <w:rPr>
          <w:rFonts w:hint="default"/>
          <w:color w:val="auto"/>
          <w:lang w:val="en-US" w:eastAsia="zh-CN"/>
        </w:rPr>
        <w:t>种</w:t>
      </w:r>
      <w:r>
        <w:rPr>
          <w:rFonts w:hint="eastAsia"/>
          <w:color w:val="auto"/>
          <w:lang w:val="en-US" w:eastAsia="zh-CN"/>
        </w:rPr>
        <w:t>受古水深—古气候宏观调控的</w:t>
      </w:r>
      <w:r>
        <w:rPr>
          <w:rFonts w:hint="default"/>
          <w:color w:val="auto"/>
          <w:lang w:val="en-US" w:eastAsia="zh-CN"/>
        </w:rPr>
        <w:t>有机质富集模式。上段页岩发主要育</w:t>
      </w:r>
      <w:r>
        <w:rPr>
          <w:rFonts w:hint="eastAsia"/>
          <w:color w:val="auto"/>
          <w:lang w:val="en-US" w:eastAsia="zh-CN"/>
        </w:rPr>
        <w:t>温暖湿润</w:t>
      </w:r>
      <w:r>
        <w:rPr>
          <w:rFonts w:hint="default"/>
          <w:color w:val="auto"/>
          <w:lang w:val="en-US" w:eastAsia="zh-CN"/>
        </w:rPr>
        <w:t>稳定较深水</w:t>
      </w:r>
      <w:r>
        <w:rPr>
          <w:rFonts w:hint="eastAsia"/>
          <w:color w:val="auto"/>
          <w:lang w:val="en-US" w:eastAsia="zh-CN"/>
        </w:rPr>
        <w:t>有机质</w:t>
      </w:r>
      <w:r>
        <w:rPr>
          <w:rFonts w:hint="default"/>
          <w:color w:val="auto"/>
          <w:lang w:val="en-US" w:eastAsia="zh-CN"/>
        </w:rPr>
        <w:t>富集模式，下段页岩发育火山干热环境、</w:t>
      </w:r>
      <w:r>
        <w:rPr>
          <w:rFonts w:hint="eastAsia"/>
          <w:color w:val="auto"/>
          <w:lang w:val="en-US" w:eastAsia="zh-CN"/>
        </w:rPr>
        <w:t>温暖湿润</w:t>
      </w:r>
      <w:r>
        <w:rPr>
          <w:rFonts w:hint="default"/>
          <w:color w:val="auto"/>
          <w:lang w:val="en-US" w:eastAsia="zh-CN"/>
        </w:rPr>
        <w:t>动荡浅水</w:t>
      </w:r>
      <w:r>
        <w:rPr>
          <w:rFonts w:hint="eastAsia"/>
          <w:color w:val="auto"/>
          <w:lang w:val="en-US" w:eastAsia="zh-CN"/>
        </w:rPr>
        <w:t>有机质</w:t>
      </w:r>
      <w:r>
        <w:rPr>
          <w:rFonts w:hint="default"/>
          <w:color w:val="auto"/>
          <w:lang w:val="en-US" w:eastAsia="zh-CN"/>
        </w:rPr>
        <w:t>富集模式</w:t>
      </w:r>
      <w:r>
        <w:rPr>
          <w:rFonts w:hint="eastAsia"/>
          <w:color w:val="auto"/>
          <w:lang w:val="en-US" w:eastAsia="zh-CN"/>
        </w:rPr>
        <w:t>（图3.8）</w:t>
      </w:r>
      <w:r>
        <w:rPr>
          <w:rFonts w:hint="eastAsia"/>
          <w:color w:val="auto"/>
          <w:lang w:val="en-US" w:eastAsia="zh-CN"/>
        </w:rPr>
        <w:t>。</w:t>
      </w:r>
    </w:p>
    <w:tbl>
      <w:tblPr>
        <w:tblStyle w:val="9"/>
        <w:tblW w:w="99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36"/>
        <w:gridCol w:w="5055"/>
      </w:tblGrid>
      <w:tr w14:paraId="2977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4936" w:type="dxa"/>
            <w:vAlign w:val="center"/>
          </w:tcPr>
          <w:p w14:paraId="1FEDE8CA">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drawing>
                <wp:inline distT="0" distB="0" distL="114300" distR="114300">
                  <wp:extent cx="2879725" cy="1692275"/>
                  <wp:effectExtent l="0" t="0" r="2540" b="2540"/>
                  <wp:docPr id="12" name="图片 12" descr="模式一"/>
                  <wp:cNvGraphicFramePr/>
                  <a:graphic xmlns:a="http://schemas.openxmlformats.org/drawingml/2006/main">
                    <a:graphicData uri="http://schemas.openxmlformats.org/drawingml/2006/picture">
                      <pic:pic xmlns:pic="http://schemas.openxmlformats.org/drawingml/2006/picture">
                        <pic:nvPicPr>
                          <pic:cNvPr id="12" name="图片 12" descr="模式一"/>
                          <pic:cNvPicPr/>
                        </pic:nvPicPr>
                        <pic:blipFill>
                          <a:blip r:embed="rId17"/>
                          <a:stretch>
                            <a:fillRect/>
                          </a:stretch>
                        </pic:blipFill>
                        <pic:spPr>
                          <a:xfrm>
                            <a:off x="0" y="0"/>
                            <a:ext cx="2879725" cy="1692275"/>
                          </a:xfrm>
                          <a:prstGeom prst="rect">
                            <a:avLst/>
                          </a:prstGeom>
                        </pic:spPr>
                      </pic:pic>
                    </a:graphicData>
                  </a:graphic>
                </wp:inline>
              </w:drawing>
            </w:r>
          </w:p>
        </w:tc>
        <w:tc>
          <w:tcPr>
            <w:tcW w:w="5055" w:type="dxa"/>
            <w:vAlign w:val="center"/>
          </w:tcPr>
          <w:p w14:paraId="587EC989">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vertAlign w:val="baseline"/>
                <w:lang w:val="en-US" w:eastAsia="zh-CN"/>
              </w:rPr>
            </w:pPr>
            <w:r>
              <w:rPr>
                <w:rFonts w:hint="eastAsia"/>
                <w:color w:val="auto"/>
                <w:lang w:val="en-US" w:eastAsia="zh-CN"/>
              </w:rPr>
              <w:drawing>
                <wp:inline distT="0" distB="0" distL="114300" distR="114300">
                  <wp:extent cx="2879725" cy="1692275"/>
                  <wp:effectExtent l="0" t="0" r="2540" b="2540"/>
                  <wp:docPr id="17" name="图片 17" descr="模式二"/>
                  <wp:cNvGraphicFramePr/>
                  <a:graphic xmlns:a="http://schemas.openxmlformats.org/drawingml/2006/main">
                    <a:graphicData uri="http://schemas.openxmlformats.org/drawingml/2006/picture">
                      <pic:pic xmlns:pic="http://schemas.openxmlformats.org/drawingml/2006/picture">
                        <pic:nvPicPr>
                          <pic:cNvPr id="17" name="图片 17" descr="模式二"/>
                          <pic:cNvPicPr/>
                        </pic:nvPicPr>
                        <pic:blipFill>
                          <a:blip r:embed="rId18"/>
                          <a:stretch>
                            <a:fillRect/>
                          </a:stretch>
                        </pic:blipFill>
                        <pic:spPr>
                          <a:xfrm>
                            <a:off x="0" y="0"/>
                            <a:ext cx="2879725" cy="1692275"/>
                          </a:xfrm>
                          <a:prstGeom prst="rect">
                            <a:avLst/>
                          </a:prstGeom>
                        </pic:spPr>
                      </pic:pic>
                    </a:graphicData>
                  </a:graphic>
                </wp:inline>
              </w:drawing>
            </w:r>
          </w:p>
        </w:tc>
      </w:tr>
      <w:tr w14:paraId="7E38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2" w:hRule="atLeast"/>
          <w:jc w:val="center"/>
        </w:trPr>
        <w:tc>
          <w:tcPr>
            <w:tcW w:w="9991" w:type="dxa"/>
            <w:gridSpan w:val="2"/>
            <w:vAlign w:val="center"/>
          </w:tcPr>
          <w:p w14:paraId="410BB628">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lang w:val="en-US" w:eastAsia="zh-CN"/>
              </w:rPr>
            </w:pPr>
            <w:r>
              <w:rPr>
                <w:rFonts w:hint="eastAsia"/>
                <w:color w:val="auto"/>
                <w:lang w:val="en-US" w:eastAsia="zh-CN"/>
              </w:rPr>
              <w:drawing>
                <wp:inline distT="0" distB="0" distL="114300" distR="114300">
                  <wp:extent cx="2879725" cy="1692275"/>
                  <wp:effectExtent l="0" t="0" r="2540" b="2540"/>
                  <wp:docPr id="19" name="图片 19" descr="模式三"/>
                  <wp:cNvGraphicFramePr/>
                  <a:graphic xmlns:a="http://schemas.openxmlformats.org/drawingml/2006/main">
                    <a:graphicData uri="http://schemas.openxmlformats.org/drawingml/2006/picture">
                      <pic:pic xmlns:pic="http://schemas.openxmlformats.org/drawingml/2006/picture">
                        <pic:nvPicPr>
                          <pic:cNvPr id="19" name="图片 19" descr="模式三"/>
                          <pic:cNvPicPr/>
                        </pic:nvPicPr>
                        <pic:blipFill>
                          <a:blip r:embed="rId19"/>
                          <a:stretch>
                            <a:fillRect/>
                          </a:stretch>
                        </pic:blipFill>
                        <pic:spPr>
                          <a:xfrm>
                            <a:off x="0" y="0"/>
                            <a:ext cx="2879725" cy="1692275"/>
                          </a:xfrm>
                          <a:prstGeom prst="rect">
                            <a:avLst/>
                          </a:prstGeom>
                        </pic:spPr>
                      </pic:pic>
                    </a:graphicData>
                  </a:graphic>
                </wp:inline>
              </w:drawing>
            </w:r>
          </w:p>
        </w:tc>
      </w:tr>
      <w:tr w14:paraId="7EE8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9991" w:type="dxa"/>
            <w:gridSpan w:val="2"/>
            <w:vAlign w:val="center"/>
          </w:tcPr>
          <w:p w14:paraId="32446BC5">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lang w:val="en-US" w:eastAsia="zh-CN"/>
              </w:rPr>
            </w:pPr>
            <w:r>
              <w:rPr>
                <w:rFonts w:hint="eastAsia"/>
                <w:color w:val="auto"/>
                <w:lang w:val="en-US" w:eastAsia="zh-CN"/>
              </w:rPr>
              <w:t>3.8 阿腊德依克赛组黑色页岩有机质富集模式</w:t>
            </w:r>
          </w:p>
        </w:tc>
      </w:tr>
    </w:tbl>
    <w:p w14:paraId="44FAB01D">
      <w:pPr>
        <w:numPr>
          <w:ilvl w:val="0"/>
          <w:numId w:val="2"/>
        </w:numPr>
        <w:spacing w:before="156" w:beforeLines="50" w:after="156" w:afterLines="50" w:line="300" w:lineRule="auto"/>
        <w:ind w:left="0" w:leftChars="0" w:firstLine="0" w:firstLineChars="0"/>
        <w:jc w:val="left"/>
        <w:rPr>
          <w:rFonts w:hint="default" w:ascii="Times New Roman" w:hAnsi="Times New Roman"/>
          <w:b/>
          <w:bCs/>
          <w:color w:val="auto"/>
          <w:sz w:val="28"/>
          <w:lang w:val="en-US" w:eastAsia="zh-CN"/>
        </w:rPr>
      </w:pPr>
      <w:r>
        <w:rPr>
          <w:rFonts w:hint="eastAsia" w:ascii="Times New Roman" w:hAnsi="Times New Roman"/>
          <w:b/>
          <w:bCs/>
          <w:color w:val="auto"/>
          <w:sz w:val="28"/>
          <w:lang w:val="en-US" w:eastAsia="zh-CN"/>
        </w:rPr>
        <w:t xml:space="preserve"> 研究结论</w:t>
      </w:r>
    </w:p>
    <w:p w14:paraId="26AC5786">
      <w:pPr>
        <w:numPr>
          <w:ilvl w:val="0"/>
          <w:numId w:val="0"/>
        </w:numPr>
        <w:ind w:firstLine="480" w:firstLineChars="200"/>
        <w:rPr>
          <w:rFonts w:hint="eastAsia"/>
          <w:color w:val="auto"/>
          <w:lang w:val="en-US" w:eastAsia="zh-CN"/>
        </w:rPr>
      </w:pPr>
      <w:r>
        <w:rPr>
          <w:rFonts w:hint="eastAsia" w:ascii="Times New Roman" w:hAnsi="Times New Roman" w:eastAsia="宋体" w:cstheme="minorBidi"/>
          <w:color w:val="auto"/>
          <w:kern w:val="2"/>
          <w:sz w:val="24"/>
          <w:szCs w:val="24"/>
          <w:lang w:val="en-US" w:eastAsia="zh-CN" w:bidi="ar-SA"/>
        </w:rPr>
        <w:t>1）</w:t>
      </w:r>
      <w:r>
        <w:rPr>
          <w:rFonts w:hint="default"/>
          <w:color w:val="auto"/>
          <w:lang w:val="en-US" w:eastAsia="zh-CN"/>
        </w:rPr>
        <w:t>阿腊德依克赛组</w:t>
      </w:r>
      <w:r>
        <w:rPr>
          <w:rFonts w:hint="eastAsia"/>
          <w:color w:val="auto"/>
          <w:lang w:val="en-US" w:eastAsia="zh-CN"/>
        </w:rPr>
        <w:t>黑色页岩有机质热演化程度较高，普遍达到高-过成熟阶段，优选降解率法恢复有机质原始丰度和生烃潜力，恢复结果表明，50%以上样品属于中等—好烃源岩，整体上具有不错的生烃潜力。</w:t>
      </w:r>
    </w:p>
    <w:p w14:paraId="71A785E3">
      <w:pPr>
        <w:numPr>
          <w:ilvl w:val="0"/>
          <w:numId w:val="0"/>
        </w:numPr>
        <w:ind w:firstLine="480" w:firstLineChars="200"/>
        <w:rPr>
          <w:rFonts w:hint="default"/>
          <w:color w:val="auto"/>
          <w:lang w:val="en-US" w:eastAsia="zh-CN"/>
        </w:rPr>
      </w:pPr>
      <w:r>
        <w:rPr>
          <w:rFonts w:hint="default" w:ascii="Times New Roman" w:hAnsi="Times New Roman" w:eastAsia="宋体" w:cstheme="minorBidi"/>
          <w:color w:val="auto"/>
          <w:kern w:val="2"/>
          <w:sz w:val="24"/>
          <w:szCs w:val="24"/>
          <w:lang w:val="en-US" w:eastAsia="zh-CN" w:bidi="ar-SA"/>
        </w:rPr>
        <w:t>2）</w:t>
      </w:r>
      <w:r>
        <w:rPr>
          <w:rFonts w:hint="default"/>
          <w:color w:val="auto"/>
          <w:lang w:val="en-US" w:eastAsia="zh-CN"/>
        </w:rPr>
        <w:t>阿腊德依克赛组黑色页岩沉积于湿润</w:t>
      </w:r>
      <w:r>
        <w:rPr>
          <w:rFonts w:hint="eastAsia"/>
          <w:color w:val="auto"/>
          <w:lang w:val="en-US" w:eastAsia="zh-CN"/>
        </w:rPr>
        <w:t>—</w:t>
      </w:r>
      <w:r>
        <w:rPr>
          <w:rFonts w:hint="default"/>
          <w:color w:val="auto"/>
          <w:lang w:val="en-US" w:eastAsia="zh-CN"/>
        </w:rPr>
        <w:t>半干旱气候下，半干旱气候可能与阶段性火山作用有关。其母岩基本未经受沉积再旋回作用，母岩全部来源于火山岩，主要是中性-酸性岩浆岩类</w:t>
      </w:r>
      <w:r>
        <w:rPr>
          <w:rFonts w:hint="eastAsia"/>
          <w:color w:val="auto"/>
          <w:lang w:val="en-US" w:eastAsia="zh-CN"/>
        </w:rPr>
        <w:t>，</w:t>
      </w:r>
      <w:r>
        <w:rPr>
          <w:rFonts w:hint="default"/>
          <w:color w:val="auto"/>
          <w:lang w:val="en-US" w:eastAsia="zh-CN"/>
        </w:rPr>
        <w:t>并且在沉积期遭受了</w:t>
      </w:r>
      <w:r>
        <w:rPr>
          <w:rFonts w:hint="eastAsia"/>
          <w:color w:val="auto"/>
          <w:lang w:val="en-US" w:eastAsia="zh-CN"/>
        </w:rPr>
        <w:t>弱—</w:t>
      </w:r>
      <w:r>
        <w:rPr>
          <w:rFonts w:hint="default"/>
          <w:color w:val="auto"/>
          <w:lang w:val="en-US" w:eastAsia="zh-CN"/>
        </w:rPr>
        <w:t>中等程度的风化。阿腊德依克赛组黑色页岩沉积期水体处于贫氧-氧化状态，并且未受到热液活动的影响，水体古生产力水平极低，不是控制有机质富集的主要因素。陆源碎屑输入指标和水体深度指标与TOC存在一定相关性，反映水深和陆源输入对于有机质富集的控制作用。</w:t>
      </w:r>
    </w:p>
    <w:p w14:paraId="61600CA7">
      <w:pPr>
        <w:numPr>
          <w:ilvl w:val="0"/>
          <w:numId w:val="0"/>
        </w:numPr>
        <w:ind w:firstLine="480" w:firstLineChars="200"/>
        <w:rPr>
          <w:rFonts w:hint="default"/>
          <w:color w:val="auto"/>
          <w:lang w:val="en-US" w:eastAsia="zh-CN"/>
        </w:rPr>
      </w:pPr>
      <w:r>
        <w:rPr>
          <w:rFonts w:hint="eastAsia" w:cstheme="minorBidi"/>
          <w:color w:val="auto"/>
          <w:kern w:val="2"/>
          <w:sz w:val="24"/>
          <w:szCs w:val="24"/>
          <w:lang w:val="en-US" w:eastAsia="zh-CN" w:bidi="ar-SA"/>
        </w:rPr>
        <w:t>3</w:t>
      </w:r>
      <w:r>
        <w:rPr>
          <w:rFonts w:hint="default" w:ascii="Times New Roman" w:hAnsi="Times New Roman" w:eastAsia="宋体" w:cstheme="minorBidi"/>
          <w:color w:val="auto"/>
          <w:kern w:val="2"/>
          <w:sz w:val="24"/>
          <w:szCs w:val="24"/>
          <w:lang w:val="en-US" w:eastAsia="zh-CN" w:bidi="ar-SA"/>
        </w:rPr>
        <w:t>）</w:t>
      </w:r>
      <w:r>
        <w:rPr>
          <w:rFonts w:hint="eastAsia"/>
          <w:color w:val="auto"/>
          <w:lang w:val="en-US" w:eastAsia="zh-CN"/>
        </w:rPr>
        <w:t>建立各古环境指标与TOC之间的皮尔逊系数热力学矩阵图，分析认为：氧化还原条件和陆源碎屑输入是控制有机质富集的重要因素，水体深度和古气候条件从宏观上控制有机质富集</w:t>
      </w:r>
      <w:r>
        <w:rPr>
          <w:rFonts w:hint="default"/>
          <w:color w:val="auto"/>
          <w:lang w:val="en-US" w:eastAsia="zh-CN"/>
        </w:rPr>
        <w:t>。</w:t>
      </w:r>
      <w:r>
        <w:rPr>
          <w:rFonts w:hint="eastAsia"/>
          <w:color w:val="auto"/>
          <w:lang w:val="en-US" w:eastAsia="zh-CN"/>
        </w:rPr>
        <w:t>结合准噶尔盆地西北缘石炭系地质背景，建立了三种受古水深—古气候宏观调控的海陆过渡环境页岩有机质富集模式。</w:t>
      </w:r>
    </w:p>
    <w:sectPr>
      <w:headerReference r:id="rId7" w:type="first"/>
      <w:footerReference r:id="rId8" w:type="first"/>
      <w:headerReference r:id="rId5" w:type="default"/>
      <w:headerReference r:id="rId6" w:type="even"/>
      <w:pgSz w:w="11906" w:h="16838"/>
      <w:pgMar w:top="1417" w:right="1417" w:bottom="1417" w:left="1701"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E901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EDBD">
    <w:pPr>
      <w:pStyle w:val="7"/>
      <w:pBdr>
        <w:bottom w:val="single" w:color="auto" w:sz="4" w:space="1"/>
      </w:pBdr>
      <w:bidi w:val="0"/>
      <w:rPr>
        <w:rFonts w:hint="default"/>
        <w:lang w:val="en-US" w:eastAsia="zh-CN"/>
      </w:rPr>
    </w:pPr>
    <w:r>
      <w:rPr>
        <w:rFonts w:hint="eastAsia"/>
        <w:lang w:val="en-US" w:eastAsia="zh-CN"/>
      </w:rPr>
      <w:t>准噶尔盆地玛湖55井石炭系阿腊德伊克赛组黑色页岩沉积环境与烃源评价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971F">
    <w:pPr>
      <w:pStyle w:val="7"/>
      <w:pBdr>
        <w:bottom w:val="single" w:color="auto" w:sz="4" w:space="1"/>
      </w:pBdr>
      <w:bidi w:val="0"/>
    </w:pPr>
    <w:r>
      <w:rPr>
        <w:rFonts w:hint="eastAsia"/>
      </w:rPr>
      <w:t>西安石油大学本科</w:t>
    </w:r>
    <w:r>
      <w:rPr>
        <w:rFonts w:hint="eastAsia"/>
        <w:lang w:val="en-US" w:eastAsia="zh-CN"/>
      </w:rPr>
      <w:t>2025</w:t>
    </w:r>
    <w:r>
      <w:rPr>
        <w:rFonts w:hint="eastAsia"/>
      </w:rPr>
      <w:t>届本科优秀毕业设计（论文）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66C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14F41"/>
    <w:multiLevelType w:val="singleLevel"/>
    <w:tmpl w:val="5ED14F41"/>
    <w:lvl w:ilvl="0" w:tentative="0">
      <w:start w:val="2"/>
      <w:numFmt w:val="decimal"/>
      <w:suff w:val="nothing"/>
      <w:lvlText w:val="%1）"/>
      <w:lvlJc w:val="left"/>
    </w:lvl>
  </w:abstractNum>
  <w:abstractNum w:abstractNumId="1">
    <w:nsid w:val="63B015A3"/>
    <w:multiLevelType w:val="singleLevel"/>
    <w:tmpl w:val="63B015A3"/>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C095C"/>
    <w:rsid w:val="03257816"/>
    <w:rsid w:val="03AE2F81"/>
    <w:rsid w:val="04001E75"/>
    <w:rsid w:val="0442248D"/>
    <w:rsid w:val="08CB2A51"/>
    <w:rsid w:val="0A0B0A65"/>
    <w:rsid w:val="0B04224A"/>
    <w:rsid w:val="0D2237C4"/>
    <w:rsid w:val="0D8E582F"/>
    <w:rsid w:val="0FC227FA"/>
    <w:rsid w:val="11CE361D"/>
    <w:rsid w:val="123C676E"/>
    <w:rsid w:val="13143247"/>
    <w:rsid w:val="14B849E3"/>
    <w:rsid w:val="15D777A5"/>
    <w:rsid w:val="1651030E"/>
    <w:rsid w:val="1697343C"/>
    <w:rsid w:val="176522C3"/>
    <w:rsid w:val="178E0E48"/>
    <w:rsid w:val="1A7B32F4"/>
    <w:rsid w:val="1ABF618E"/>
    <w:rsid w:val="1B2D759B"/>
    <w:rsid w:val="1D3F2DCD"/>
    <w:rsid w:val="1FFE32B4"/>
    <w:rsid w:val="2021020D"/>
    <w:rsid w:val="22C32593"/>
    <w:rsid w:val="23954084"/>
    <w:rsid w:val="24AA0932"/>
    <w:rsid w:val="25F0369F"/>
    <w:rsid w:val="27207FB4"/>
    <w:rsid w:val="27B51DF2"/>
    <w:rsid w:val="27E4019F"/>
    <w:rsid w:val="2B6575B6"/>
    <w:rsid w:val="2C0E487F"/>
    <w:rsid w:val="2CC338BC"/>
    <w:rsid w:val="2D3409F6"/>
    <w:rsid w:val="2D6470E1"/>
    <w:rsid w:val="2FDC679B"/>
    <w:rsid w:val="311A00DC"/>
    <w:rsid w:val="33573EDC"/>
    <w:rsid w:val="335A2AA0"/>
    <w:rsid w:val="33B95A18"/>
    <w:rsid w:val="33E44F7D"/>
    <w:rsid w:val="340053F5"/>
    <w:rsid w:val="351D4F1D"/>
    <w:rsid w:val="36C4095C"/>
    <w:rsid w:val="36DF5796"/>
    <w:rsid w:val="377B05D7"/>
    <w:rsid w:val="39691347"/>
    <w:rsid w:val="3A2F07E2"/>
    <w:rsid w:val="3AB46F3A"/>
    <w:rsid w:val="3BF03FA1"/>
    <w:rsid w:val="3C480B3F"/>
    <w:rsid w:val="3EDA71FF"/>
    <w:rsid w:val="3FF54B72"/>
    <w:rsid w:val="402E6E46"/>
    <w:rsid w:val="41313092"/>
    <w:rsid w:val="41691DE6"/>
    <w:rsid w:val="416A064C"/>
    <w:rsid w:val="41B132AD"/>
    <w:rsid w:val="429A07C3"/>
    <w:rsid w:val="438A6A89"/>
    <w:rsid w:val="44ED45A5"/>
    <w:rsid w:val="4565673D"/>
    <w:rsid w:val="46506A56"/>
    <w:rsid w:val="46C72299"/>
    <w:rsid w:val="47FC2B0F"/>
    <w:rsid w:val="4C25498D"/>
    <w:rsid w:val="4DAB41CC"/>
    <w:rsid w:val="4E5B79A0"/>
    <w:rsid w:val="4E8E2355"/>
    <w:rsid w:val="4FA7288E"/>
    <w:rsid w:val="50B12DD0"/>
    <w:rsid w:val="53AD4753"/>
    <w:rsid w:val="54621A10"/>
    <w:rsid w:val="546C0B09"/>
    <w:rsid w:val="56262642"/>
    <w:rsid w:val="574350E9"/>
    <w:rsid w:val="58A50276"/>
    <w:rsid w:val="5A3E51C3"/>
    <w:rsid w:val="5A7476F4"/>
    <w:rsid w:val="5B376E15"/>
    <w:rsid w:val="5BAB5397"/>
    <w:rsid w:val="5DFC4FE8"/>
    <w:rsid w:val="5E055233"/>
    <w:rsid w:val="608368E3"/>
    <w:rsid w:val="62511589"/>
    <w:rsid w:val="628726BA"/>
    <w:rsid w:val="62BA36B6"/>
    <w:rsid w:val="62E04632"/>
    <w:rsid w:val="63AD43A2"/>
    <w:rsid w:val="65496BE1"/>
    <w:rsid w:val="65E80FA2"/>
    <w:rsid w:val="66B15F58"/>
    <w:rsid w:val="66D27D29"/>
    <w:rsid w:val="66FA1F0F"/>
    <w:rsid w:val="6830040B"/>
    <w:rsid w:val="68550B65"/>
    <w:rsid w:val="6B086BA9"/>
    <w:rsid w:val="6B234F4A"/>
    <w:rsid w:val="6BD82770"/>
    <w:rsid w:val="6BE57FCF"/>
    <w:rsid w:val="6BFE54F3"/>
    <w:rsid w:val="6E7B4FA6"/>
    <w:rsid w:val="6EC9405A"/>
    <w:rsid w:val="70DD3DED"/>
    <w:rsid w:val="72BF30FF"/>
    <w:rsid w:val="750D4EDF"/>
    <w:rsid w:val="76446D61"/>
    <w:rsid w:val="78252E45"/>
    <w:rsid w:val="78BD1767"/>
    <w:rsid w:val="794C5FB4"/>
    <w:rsid w:val="79E45E91"/>
    <w:rsid w:val="7A080CC3"/>
    <w:rsid w:val="7ABB5A9F"/>
    <w:rsid w:val="7ABE07EB"/>
    <w:rsid w:val="7B206849"/>
    <w:rsid w:val="7B364826"/>
    <w:rsid w:val="7D5846F1"/>
    <w:rsid w:val="7E281589"/>
    <w:rsid w:val="7EEA1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42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before="240" w:beforeLines="0" w:beforeAutospacing="0" w:after="240" w:afterLines="0" w:afterAutospacing="0" w:line="400" w:lineRule="exact"/>
      <w:ind w:firstLine="0" w:firstLineChars="0"/>
      <w:jc w:val="center"/>
      <w:outlineLvl w:val="0"/>
    </w:pPr>
    <w:rPr>
      <w:b/>
      <w:kern w:val="44"/>
      <w:sz w:val="32"/>
    </w:rPr>
  </w:style>
  <w:style w:type="paragraph" w:styleId="3">
    <w:name w:val="heading 2"/>
    <w:basedOn w:val="1"/>
    <w:next w:val="1"/>
    <w:semiHidden/>
    <w:unhideWhenUsed/>
    <w:qFormat/>
    <w:uiPriority w:val="0"/>
    <w:pPr>
      <w:keepNext/>
      <w:keepLines/>
      <w:spacing w:before="160" w:beforeLines="0" w:beforeAutospacing="0" w:after="160" w:afterLines="0" w:afterAutospacing="0" w:line="400" w:lineRule="exact"/>
      <w:jc w:val="left"/>
      <w:outlineLvl w:val="1"/>
    </w:pPr>
    <w:rPr>
      <w:rFonts w:ascii="Times New Roman" w:hAnsi="Times New Roman" w:eastAsia="宋体"/>
      <w:b/>
      <w:bCs/>
      <w:sz w:val="28"/>
    </w:rPr>
  </w:style>
  <w:style w:type="paragraph" w:styleId="4">
    <w:name w:val="heading 3"/>
    <w:basedOn w:val="1"/>
    <w:next w:val="1"/>
    <w:semiHidden/>
    <w:unhideWhenUsed/>
    <w:qFormat/>
    <w:uiPriority w:val="0"/>
    <w:pPr>
      <w:keepNext/>
      <w:keepLines/>
      <w:spacing w:before="160" w:beforeLines="0" w:beforeAutospacing="0" w:after="160" w:afterLines="0" w:afterAutospacing="0" w:line="400" w:lineRule="exact"/>
      <w:outlineLvl w:val="2"/>
    </w:pPr>
    <w:rPr>
      <w:rFonts w:ascii="Times New Roman" w:hAnsi="Times New Roman" w:eastAsia="宋体"/>
      <w:b/>
      <w:sz w:val="24"/>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Times New Roman" w:hAnsi="Times New Roman" w:eastAsia="宋体" w:cs="Times New Roman"/>
      <w:b/>
      <w:sz w:val="28"/>
      <w:szCs w:val="2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center"/>
      <w:outlineLvl w:val="9"/>
    </w:pPr>
    <w:rPr>
      <w:sz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图表"/>
    <w:basedOn w:val="1"/>
    <w:qFormat/>
    <w:uiPriority w:val="0"/>
    <w:pPr>
      <w:spacing w:line="240" w:lineRule="auto"/>
      <w:ind w:firstLine="0" w:firstLineChars="0"/>
      <w:jc w:val="center"/>
    </w:pPr>
    <w:rPr>
      <w:rFonts w:hint="eastAsia" w:eastAsia="宋体"/>
      <w:b/>
      <w:bCs/>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26700;&#38754;&#23384;&#20648;&#25991;&#20214;\&#27605;&#19994;&#35774;&#35745;\&#22270;&#20214;\&#28909;&#35299;&#32472;&#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26700;&#38754;&#23384;&#20648;&#25991;&#20214;\&#27605;&#19994;&#35774;&#35745;\&#22270;&#20214;\&#28909;&#35299;&#3247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589168605881"/>
          <c:y val="0.0561854371378181"/>
          <c:w val="0.804484874127354"/>
          <c:h val="0.779239103048627"/>
        </c:manualLayout>
      </c:layout>
      <c:scatterChart>
        <c:scatterStyle val="line"/>
        <c:varyColors val="0"/>
        <c:ser>
          <c:idx val="0"/>
          <c:order val="0"/>
          <c:spPr>
            <a:ln w="12700" cap="rnd" cmpd="sng">
              <a:solidFill>
                <a:schemeClr val="tx1"/>
              </a:solidFill>
              <a:prstDash val="sysDash"/>
              <a:round/>
            </a:ln>
            <a:effectLst/>
            <a:sp3d contourW="12700"/>
          </c:spPr>
          <c:marker>
            <c:symbol val="none"/>
          </c:marker>
          <c:dLbls>
            <c:delete val="1"/>
          </c:dLbls>
          <c:xVal>
            <c:numRef>
              <c:f>'[烃源岩评价图版-汇总.xlsx]丰度-交会'!$A$1:$A$3</c:f>
              <c:numCache>
                <c:formatCode>General</c:formatCode>
                <c:ptCount val="3"/>
                <c:pt idx="0">
                  <c:v>0.4</c:v>
                </c:pt>
                <c:pt idx="1">
                  <c:v>0.4</c:v>
                </c:pt>
                <c:pt idx="2">
                  <c:v>0.01</c:v>
                </c:pt>
              </c:numCache>
            </c:numRef>
          </c:xVal>
          <c:yVal>
            <c:numRef>
              <c:f>'[烃源岩评价图版-汇总.xlsx]丰度-交会'!$B$1:$B$3</c:f>
              <c:numCache>
                <c:formatCode>General</c:formatCode>
                <c:ptCount val="3"/>
                <c:pt idx="0">
                  <c:v>0.01</c:v>
                </c:pt>
                <c:pt idx="1">
                  <c:v>0.8</c:v>
                </c:pt>
                <c:pt idx="2">
                  <c:v>0.8</c:v>
                </c:pt>
              </c:numCache>
            </c:numRef>
          </c:yVal>
          <c:smooth val="0"/>
        </c:ser>
        <c:ser>
          <c:idx val="1"/>
          <c:order val="1"/>
          <c:spPr>
            <a:ln w="12700" cap="rnd" cmpd="sng">
              <a:solidFill>
                <a:schemeClr val="tx1"/>
              </a:solidFill>
              <a:prstDash val="sysDash"/>
              <a:round/>
            </a:ln>
            <a:effectLst/>
            <a:sp3d contourW="12700"/>
          </c:spPr>
          <c:marker>
            <c:symbol val="none"/>
          </c:marker>
          <c:dLbls>
            <c:delete val="1"/>
          </c:dLbls>
          <c:xVal>
            <c:numRef>
              <c:f>'[烃源岩评价图版-汇总.xlsx]丰度-交会'!$A$5:$A$7</c:f>
              <c:numCache>
                <c:formatCode>General</c:formatCode>
                <c:ptCount val="3"/>
                <c:pt idx="0">
                  <c:v>0.6</c:v>
                </c:pt>
                <c:pt idx="1">
                  <c:v>0.6</c:v>
                </c:pt>
                <c:pt idx="2">
                  <c:v>0.01</c:v>
                </c:pt>
              </c:numCache>
            </c:numRef>
          </c:xVal>
          <c:yVal>
            <c:numRef>
              <c:f>'[烃源岩评价图版-汇总.xlsx]丰度-交会'!$B$5:$B$7</c:f>
              <c:numCache>
                <c:formatCode>General</c:formatCode>
                <c:ptCount val="3"/>
                <c:pt idx="0">
                  <c:v>0.01</c:v>
                </c:pt>
                <c:pt idx="1">
                  <c:v>2</c:v>
                </c:pt>
                <c:pt idx="2">
                  <c:v>2</c:v>
                </c:pt>
              </c:numCache>
            </c:numRef>
          </c:yVal>
          <c:smooth val="0"/>
        </c:ser>
        <c:ser>
          <c:idx val="2"/>
          <c:order val="2"/>
          <c:spPr>
            <a:ln w="12700" cap="rnd" cmpd="sng">
              <a:solidFill>
                <a:schemeClr val="tx1"/>
              </a:solidFill>
              <a:prstDash val="sysDash"/>
              <a:round/>
            </a:ln>
            <a:effectLst/>
            <a:sp3d contourW="12700"/>
          </c:spPr>
          <c:marker>
            <c:symbol val="none"/>
          </c:marker>
          <c:dLbls>
            <c:delete val="1"/>
          </c:dLbls>
          <c:xVal>
            <c:numRef>
              <c:f>'[烃源岩评价图版-汇总.xlsx]丰度-交会'!$A$9:$A$11</c:f>
              <c:numCache>
                <c:formatCode>General</c:formatCode>
                <c:ptCount val="3"/>
                <c:pt idx="0">
                  <c:v>1</c:v>
                </c:pt>
                <c:pt idx="1">
                  <c:v>1</c:v>
                </c:pt>
                <c:pt idx="2">
                  <c:v>0.01</c:v>
                </c:pt>
              </c:numCache>
            </c:numRef>
          </c:xVal>
          <c:yVal>
            <c:numRef>
              <c:f>'[烃源岩评价图版-汇总.xlsx]丰度-交会'!$B$9:$B$11</c:f>
              <c:numCache>
                <c:formatCode>General</c:formatCode>
                <c:ptCount val="3"/>
                <c:pt idx="0">
                  <c:v>0.01</c:v>
                </c:pt>
                <c:pt idx="1">
                  <c:v>5</c:v>
                </c:pt>
                <c:pt idx="2">
                  <c:v>5</c:v>
                </c:pt>
              </c:numCache>
            </c:numRef>
          </c:yVal>
          <c:smooth val="0"/>
        </c:ser>
        <c:ser>
          <c:idx val="3"/>
          <c:order val="3"/>
          <c:spPr>
            <a:ln w="12700" cap="rnd" cmpd="sng">
              <a:solidFill>
                <a:schemeClr val="tx1"/>
              </a:solidFill>
              <a:prstDash val="sysDash"/>
              <a:round/>
            </a:ln>
            <a:effectLst/>
            <a:sp3d contourW="12700"/>
          </c:spPr>
          <c:marker>
            <c:symbol val="none"/>
          </c:marker>
          <c:dLbls>
            <c:delete val="1"/>
          </c:dLbls>
          <c:xVal>
            <c:numRef>
              <c:f>'[烃源岩评价图版-汇总.xlsx]丰度-交会'!$A$13:$A$15</c:f>
              <c:numCache>
                <c:formatCode>General</c:formatCode>
                <c:ptCount val="3"/>
                <c:pt idx="0">
                  <c:v>2</c:v>
                </c:pt>
                <c:pt idx="1">
                  <c:v>2</c:v>
                </c:pt>
                <c:pt idx="2">
                  <c:v>0.01</c:v>
                </c:pt>
              </c:numCache>
            </c:numRef>
          </c:xVal>
          <c:yVal>
            <c:numRef>
              <c:f>'[烃源岩评价图版-汇总.xlsx]丰度-交会'!$B$13:$B$15</c:f>
              <c:numCache>
                <c:formatCode>General</c:formatCode>
                <c:ptCount val="3"/>
                <c:pt idx="0">
                  <c:v>0.01</c:v>
                </c:pt>
                <c:pt idx="1">
                  <c:v>20</c:v>
                </c:pt>
                <c:pt idx="2">
                  <c:v>20</c:v>
                </c:pt>
              </c:numCache>
            </c:numRef>
          </c:yVal>
          <c:smooth val="0"/>
        </c:ser>
        <c:ser>
          <c:idx val="4"/>
          <c:order val="4"/>
          <c:tx>
            <c:strRef>
              <c:f>"HI=150"</c:f>
              <c:strCache>
                <c:ptCount val="1"/>
                <c:pt idx="0">
                  <c:v>HI=150</c:v>
                </c:pt>
              </c:strCache>
            </c:strRef>
          </c:tx>
          <c:spPr>
            <a:ln w="12700" cap="rnd" cmpd="sng">
              <a:solidFill>
                <a:schemeClr val="tx1"/>
              </a:solidFill>
              <a:prstDash val="solid"/>
              <a:round/>
            </a:ln>
            <a:effectLst/>
            <a:sp3d contourW="12700"/>
          </c:spPr>
          <c:marker>
            <c:symbol val="none"/>
          </c:marker>
          <c:dLbls>
            <c:delete val="1"/>
          </c:dLbls>
          <c:xVal>
            <c:numRef>
              <c:f>'[烃源岩评价图版-汇总.xlsx]丰度-交会'!$K$2:$K$29</c:f>
              <c:numCache>
                <c:formatCode>General</c:formatCode>
                <c:ptCount val="28"/>
                <c:pt idx="0">
                  <c:v>0.01</c:v>
                </c:pt>
                <c:pt idx="1">
                  <c:v>0.02</c:v>
                </c:pt>
                <c:pt idx="2">
                  <c:v>0.03</c:v>
                </c:pt>
                <c:pt idx="3">
                  <c:v>0.04</c:v>
                </c:pt>
                <c:pt idx="4">
                  <c:v>0.05</c:v>
                </c:pt>
                <c:pt idx="5">
                  <c:v>0.06</c:v>
                </c:pt>
                <c:pt idx="6">
                  <c:v>0.07</c:v>
                </c:pt>
                <c:pt idx="7">
                  <c:v>0.08</c:v>
                </c:pt>
                <c:pt idx="8">
                  <c:v>0.09</c:v>
                </c:pt>
                <c:pt idx="9">
                  <c:v>0.1</c:v>
                </c:pt>
                <c:pt idx="10">
                  <c:v>0.2</c:v>
                </c:pt>
                <c:pt idx="11">
                  <c:v>0.3</c:v>
                </c:pt>
                <c:pt idx="12">
                  <c:v>0.4</c:v>
                </c:pt>
                <c:pt idx="13">
                  <c:v>0.5</c:v>
                </c:pt>
                <c:pt idx="14">
                  <c:v>0.6</c:v>
                </c:pt>
                <c:pt idx="15">
                  <c:v>0.7</c:v>
                </c:pt>
                <c:pt idx="16">
                  <c:v>0.8</c:v>
                </c:pt>
                <c:pt idx="17">
                  <c:v>0.9</c:v>
                </c:pt>
                <c:pt idx="18">
                  <c:v>1</c:v>
                </c:pt>
                <c:pt idx="19">
                  <c:v>2</c:v>
                </c:pt>
                <c:pt idx="20">
                  <c:v>3</c:v>
                </c:pt>
                <c:pt idx="21">
                  <c:v>4</c:v>
                </c:pt>
                <c:pt idx="22">
                  <c:v>5</c:v>
                </c:pt>
                <c:pt idx="23">
                  <c:v>6</c:v>
                </c:pt>
                <c:pt idx="24">
                  <c:v>7</c:v>
                </c:pt>
                <c:pt idx="25">
                  <c:v>8</c:v>
                </c:pt>
                <c:pt idx="26">
                  <c:v>9</c:v>
                </c:pt>
                <c:pt idx="27">
                  <c:v>10</c:v>
                </c:pt>
              </c:numCache>
            </c:numRef>
          </c:xVal>
          <c:yVal>
            <c:numRef>
              <c:f>'[烃源岩评价图版-汇总.xlsx]丰度-交会'!$L$2:$L$29</c:f>
              <c:numCache>
                <c:formatCode>General</c:formatCode>
                <c:ptCount val="28"/>
                <c:pt idx="0">
                  <c:v>0.015</c:v>
                </c:pt>
                <c:pt idx="1">
                  <c:v>0.03</c:v>
                </c:pt>
                <c:pt idx="2">
                  <c:v>0.045</c:v>
                </c:pt>
                <c:pt idx="3">
                  <c:v>0.06</c:v>
                </c:pt>
                <c:pt idx="4">
                  <c:v>0.075</c:v>
                </c:pt>
                <c:pt idx="5">
                  <c:v>0.09</c:v>
                </c:pt>
                <c:pt idx="6">
                  <c:v>0.105</c:v>
                </c:pt>
                <c:pt idx="7">
                  <c:v>0.12</c:v>
                </c:pt>
                <c:pt idx="8">
                  <c:v>0.135</c:v>
                </c:pt>
                <c:pt idx="9">
                  <c:v>0.15</c:v>
                </c:pt>
                <c:pt idx="10">
                  <c:v>0.3</c:v>
                </c:pt>
                <c:pt idx="11">
                  <c:v>0.45</c:v>
                </c:pt>
                <c:pt idx="12">
                  <c:v>0.6</c:v>
                </c:pt>
                <c:pt idx="13">
                  <c:v>0.75</c:v>
                </c:pt>
                <c:pt idx="14">
                  <c:v>0.9</c:v>
                </c:pt>
                <c:pt idx="15">
                  <c:v>1.05</c:v>
                </c:pt>
                <c:pt idx="16">
                  <c:v>1.2</c:v>
                </c:pt>
                <c:pt idx="17">
                  <c:v>1.35</c:v>
                </c:pt>
                <c:pt idx="18">
                  <c:v>1.5</c:v>
                </c:pt>
                <c:pt idx="19">
                  <c:v>3</c:v>
                </c:pt>
                <c:pt idx="20">
                  <c:v>4.5</c:v>
                </c:pt>
                <c:pt idx="21">
                  <c:v>6</c:v>
                </c:pt>
                <c:pt idx="22">
                  <c:v>7.5</c:v>
                </c:pt>
                <c:pt idx="23">
                  <c:v>9</c:v>
                </c:pt>
                <c:pt idx="24">
                  <c:v>10.5</c:v>
                </c:pt>
                <c:pt idx="25">
                  <c:v>12</c:v>
                </c:pt>
                <c:pt idx="26">
                  <c:v>13.5</c:v>
                </c:pt>
                <c:pt idx="27">
                  <c:v>15</c:v>
                </c:pt>
              </c:numCache>
            </c:numRef>
          </c:yVal>
          <c:smooth val="0"/>
        </c:ser>
        <c:ser>
          <c:idx val="6"/>
          <c:order val="5"/>
          <c:tx>
            <c:strRef>
              <c:f>"HI=400"</c:f>
              <c:strCache>
                <c:ptCount val="1"/>
                <c:pt idx="0">
                  <c:v>HI=400</c:v>
                </c:pt>
              </c:strCache>
            </c:strRef>
          </c:tx>
          <c:spPr>
            <a:ln w="12700" cap="rnd">
              <a:solidFill>
                <a:schemeClr val="tx1"/>
              </a:solidFill>
              <a:round/>
            </a:ln>
            <a:effectLst/>
            <a:sp3d contourW="12700"/>
          </c:spPr>
          <c:marker>
            <c:symbol val="none"/>
          </c:marker>
          <c:dLbls>
            <c:delete val="1"/>
          </c:dLbls>
          <c:xVal>
            <c:numRef>
              <c:f>'[烃源岩评价图版-汇总.xlsx]丰度-交会'!$K$2:$K$29</c:f>
              <c:numCache>
                <c:formatCode>General</c:formatCode>
                <c:ptCount val="28"/>
                <c:pt idx="0">
                  <c:v>0.01</c:v>
                </c:pt>
                <c:pt idx="1">
                  <c:v>0.02</c:v>
                </c:pt>
                <c:pt idx="2">
                  <c:v>0.03</c:v>
                </c:pt>
                <c:pt idx="3">
                  <c:v>0.04</c:v>
                </c:pt>
                <c:pt idx="4">
                  <c:v>0.05</c:v>
                </c:pt>
                <c:pt idx="5">
                  <c:v>0.06</c:v>
                </c:pt>
                <c:pt idx="6">
                  <c:v>0.07</c:v>
                </c:pt>
                <c:pt idx="7">
                  <c:v>0.08</c:v>
                </c:pt>
                <c:pt idx="8">
                  <c:v>0.09</c:v>
                </c:pt>
                <c:pt idx="9">
                  <c:v>0.1</c:v>
                </c:pt>
                <c:pt idx="10">
                  <c:v>0.2</c:v>
                </c:pt>
                <c:pt idx="11">
                  <c:v>0.3</c:v>
                </c:pt>
                <c:pt idx="12">
                  <c:v>0.4</c:v>
                </c:pt>
                <c:pt idx="13">
                  <c:v>0.5</c:v>
                </c:pt>
                <c:pt idx="14">
                  <c:v>0.6</c:v>
                </c:pt>
                <c:pt idx="15">
                  <c:v>0.7</c:v>
                </c:pt>
                <c:pt idx="16">
                  <c:v>0.8</c:v>
                </c:pt>
                <c:pt idx="17">
                  <c:v>0.9</c:v>
                </c:pt>
                <c:pt idx="18">
                  <c:v>1</c:v>
                </c:pt>
                <c:pt idx="19">
                  <c:v>2</c:v>
                </c:pt>
                <c:pt idx="20">
                  <c:v>3</c:v>
                </c:pt>
                <c:pt idx="21">
                  <c:v>4</c:v>
                </c:pt>
                <c:pt idx="22">
                  <c:v>5</c:v>
                </c:pt>
                <c:pt idx="23">
                  <c:v>6</c:v>
                </c:pt>
                <c:pt idx="24">
                  <c:v>7</c:v>
                </c:pt>
                <c:pt idx="25">
                  <c:v>8</c:v>
                </c:pt>
                <c:pt idx="26">
                  <c:v>9</c:v>
                </c:pt>
                <c:pt idx="27">
                  <c:v>10</c:v>
                </c:pt>
              </c:numCache>
            </c:numRef>
          </c:xVal>
          <c:yVal>
            <c:numRef>
              <c:f>'[烃源岩评价图版-汇总.xlsx]丰度-交会'!$M$2:$M$29</c:f>
              <c:numCache>
                <c:formatCode>General</c:formatCode>
                <c:ptCount val="28"/>
                <c:pt idx="0">
                  <c:v>0.04</c:v>
                </c:pt>
                <c:pt idx="1">
                  <c:v>0.08</c:v>
                </c:pt>
                <c:pt idx="2">
                  <c:v>0.12</c:v>
                </c:pt>
                <c:pt idx="3">
                  <c:v>0.16</c:v>
                </c:pt>
                <c:pt idx="4">
                  <c:v>0.2</c:v>
                </c:pt>
                <c:pt idx="5">
                  <c:v>0.24</c:v>
                </c:pt>
                <c:pt idx="6">
                  <c:v>0.28</c:v>
                </c:pt>
                <c:pt idx="7">
                  <c:v>0.32</c:v>
                </c:pt>
                <c:pt idx="8">
                  <c:v>0.36</c:v>
                </c:pt>
                <c:pt idx="9">
                  <c:v>0.4</c:v>
                </c:pt>
                <c:pt idx="10">
                  <c:v>0.8</c:v>
                </c:pt>
                <c:pt idx="11">
                  <c:v>1.2</c:v>
                </c:pt>
                <c:pt idx="12">
                  <c:v>1.6</c:v>
                </c:pt>
                <c:pt idx="13">
                  <c:v>2</c:v>
                </c:pt>
                <c:pt idx="14">
                  <c:v>2.4</c:v>
                </c:pt>
                <c:pt idx="15">
                  <c:v>2.8</c:v>
                </c:pt>
                <c:pt idx="16">
                  <c:v>3.2</c:v>
                </c:pt>
                <c:pt idx="17">
                  <c:v>3.6</c:v>
                </c:pt>
                <c:pt idx="18">
                  <c:v>4</c:v>
                </c:pt>
                <c:pt idx="19">
                  <c:v>8</c:v>
                </c:pt>
                <c:pt idx="20">
                  <c:v>12</c:v>
                </c:pt>
                <c:pt idx="21">
                  <c:v>16</c:v>
                </c:pt>
                <c:pt idx="22">
                  <c:v>20</c:v>
                </c:pt>
                <c:pt idx="23">
                  <c:v>24</c:v>
                </c:pt>
                <c:pt idx="24">
                  <c:v>28</c:v>
                </c:pt>
                <c:pt idx="25">
                  <c:v>32</c:v>
                </c:pt>
                <c:pt idx="26">
                  <c:v>36</c:v>
                </c:pt>
                <c:pt idx="27">
                  <c:v>40</c:v>
                </c:pt>
              </c:numCache>
            </c:numRef>
          </c:yVal>
          <c:smooth val="0"/>
        </c:ser>
        <c:ser>
          <c:idx val="7"/>
          <c:order val="6"/>
          <c:tx>
            <c:strRef>
              <c:f>"HI=650"</c:f>
              <c:strCache>
                <c:ptCount val="1"/>
                <c:pt idx="0">
                  <c:v>HI=650</c:v>
                </c:pt>
              </c:strCache>
            </c:strRef>
          </c:tx>
          <c:spPr>
            <a:ln w="12700" cap="rnd">
              <a:solidFill>
                <a:schemeClr val="tx1"/>
              </a:solidFill>
              <a:round/>
            </a:ln>
            <a:effectLst/>
            <a:sp3d contourW="12700"/>
          </c:spPr>
          <c:marker>
            <c:symbol val="none"/>
          </c:marker>
          <c:dLbls>
            <c:delete val="1"/>
          </c:dLbls>
          <c:xVal>
            <c:numRef>
              <c:f>'[烃源岩评价图版-汇总.xlsx]丰度-交会'!$K$2:$K$29</c:f>
              <c:numCache>
                <c:formatCode>General</c:formatCode>
                <c:ptCount val="28"/>
                <c:pt idx="0">
                  <c:v>0.01</c:v>
                </c:pt>
                <c:pt idx="1">
                  <c:v>0.02</c:v>
                </c:pt>
                <c:pt idx="2">
                  <c:v>0.03</c:v>
                </c:pt>
                <c:pt idx="3">
                  <c:v>0.04</c:v>
                </c:pt>
                <c:pt idx="4">
                  <c:v>0.05</c:v>
                </c:pt>
                <c:pt idx="5">
                  <c:v>0.06</c:v>
                </c:pt>
                <c:pt idx="6">
                  <c:v>0.07</c:v>
                </c:pt>
                <c:pt idx="7">
                  <c:v>0.08</c:v>
                </c:pt>
                <c:pt idx="8">
                  <c:v>0.09</c:v>
                </c:pt>
                <c:pt idx="9">
                  <c:v>0.1</c:v>
                </c:pt>
                <c:pt idx="10">
                  <c:v>0.2</c:v>
                </c:pt>
                <c:pt idx="11">
                  <c:v>0.3</c:v>
                </c:pt>
                <c:pt idx="12">
                  <c:v>0.4</c:v>
                </c:pt>
                <c:pt idx="13">
                  <c:v>0.5</c:v>
                </c:pt>
                <c:pt idx="14">
                  <c:v>0.6</c:v>
                </c:pt>
                <c:pt idx="15">
                  <c:v>0.7</c:v>
                </c:pt>
                <c:pt idx="16">
                  <c:v>0.8</c:v>
                </c:pt>
                <c:pt idx="17">
                  <c:v>0.9</c:v>
                </c:pt>
                <c:pt idx="18">
                  <c:v>1</c:v>
                </c:pt>
                <c:pt idx="19">
                  <c:v>2</c:v>
                </c:pt>
                <c:pt idx="20">
                  <c:v>3</c:v>
                </c:pt>
                <c:pt idx="21">
                  <c:v>4</c:v>
                </c:pt>
                <c:pt idx="22">
                  <c:v>5</c:v>
                </c:pt>
                <c:pt idx="23">
                  <c:v>6</c:v>
                </c:pt>
                <c:pt idx="24">
                  <c:v>7</c:v>
                </c:pt>
                <c:pt idx="25">
                  <c:v>8</c:v>
                </c:pt>
                <c:pt idx="26">
                  <c:v>9</c:v>
                </c:pt>
                <c:pt idx="27">
                  <c:v>10</c:v>
                </c:pt>
              </c:numCache>
            </c:numRef>
          </c:xVal>
          <c:yVal>
            <c:numRef>
              <c:f>'[烃源岩评价图版-汇总.xlsx]丰度-交会'!$N$2:$N$29</c:f>
              <c:numCache>
                <c:formatCode>General</c:formatCode>
                <c:ptCount val="28"/>
                <c:pt idx="0">
                  <c:v>0.06</c:v>
                </c:pt>
                <c:pt idx="1">
                  <c:v>0.12</c:v>
                </c:pt>
                <c:pt idx="2">
                  <c:v>0.18</c:v>
                </c:pt>
                <c:pt idx="3">
                  <c:v>0.24</c:v>
                </c:pt>
                <c:pt idx="4">
                  <c:v>0.3</c:v>
                </c:pt>
                <c:pt idx="5">
                  <c:v>0.36</c:v>
                </c:pt>
                <c:pt idx="6">
                  <c:v>0.42</c:v>
                </c:pt>
                <c:pt idx="7">
                  <c:v>0.48</c:v>
                </c:pt>
                <c:pt idx="8">
                  <c:v>0.54</c:v>
                </c:pt>
                <c:pt idx="9">
                  <c:v>0.6</c:v>
                </c:pt>
                <c:pt idx="10">
                  <c:v>1.2</c:v>
                </c:pt>
                <c:pt idx="11">
                  <c:v>1.8</c:v>
                </c:pt>
                <c:pt idx="12">
                  <c:v>2.4</c:v>
                </c:pt>
                <c:pt idx="13">
                  <c:v>3</c:v>
                </c:pt>
                <c:pt idx="14">
                  <c:v>3.6</c:v>
                </c:pt>
                <c:pt idx="15">
                  <c:v>4.2</c:v>
                </c:pt>
                <c:pt idx="16">
                  <c:v>4.8</c:v>
                </c:pt>
                <c:pt idx="17">
                  <c:v>5.4</c:v>
                </c:pt>
                <c:pt idx="18">
                  <c:v>6</c:v>
                </c:pt>
                <c:pt idx="19">
                  <c:v>12</c:v>
                </c:pt>
                <c:pt idx="20">
                  <c:v>18</c:v>
                </c:pt>
                <c:pt idx="21">
                  <c:v>24</c:v>
                </c:pt>
                <c:pt idx="22">
                  <c:v>30</c:v>
                </c:pt>
                <c:pt idx="23">
                  <c:v>36</c:v>
                </c:pt>
                <c:pt idx="24">
                  <c:v>42</c:v>
                </c:pt>
                <c:pt idx="25">
                  <c:v>48</c:v>
                </c:pt>
                <c:pt idx="26">
                  <c:v>54</c:v>
                </c:pt>
                <c:pt idx="27">
                  <c:v>60</c:v>
                </c:pt>
              </c:numCache>
            </c:numRef>
          </c:yVal>
          <c:smooth val="0"/>
        </c:ser>
        <c:ser>
          <c:idx val="8"/>
          <c:order val="7"/>
          <c:tx>
            <c:strRef>
              <c:f>"原始数据"</c:f>
              <c:strCache>
                <c:ptCount val="1"/>
                <c:pt idx="0">
                  <c:v>原始数据</c:v>
                </c:pt>
              </c:strCache>
            </c:strRef>
          </c:tx>
          <c:spPr>
            <a:ln w="19050" cap="rnd">
              <a:noFill/>
              <a:round/>
            </a:ln>
            <a:effectLst/>
          </c:spPr>
          <c:marker>
            <c:symbol val="square"/>
            <c:size val="5"/>
            <c:spPr>
              <a:solidFill>
                <a:srgbClr val="FF0000"/>
              </a:solidFill>
              <a:ln w="3175">
                <a:solidFill>
                  <a:schemeClr val="tx1"/>
                </a:solidFill>
              </a:ln>
              <a:effectLst/>
            </c:spPr>
          </c:marker>
          <c:dLbls>
            <c:delete val="1"/>
          </c:dLbls>
          <c:xVal>
            <c:numRef>
              <c:f>[热解绘图.xlsx]Sheet1!$B$2:$B$21</c:f>
              <c:numCache>
                <c:formatCode>General</c:formatCode>
                <c:ptCount val="20"/>
                <c:pt idx="0">
                  <c:v>0.5</c:v>
                </c:pt>
                <c:pt idx="1">
                  <c:v>0.38</c:v>
                </c:pt>
                <c:pt idx="2">
                  <c:v>0.56</c:v>
                </c:pt>
                <c:pt idx="3">
                  <c:v>0.59</c:v>
                </c:pt>
                <c:pt idx="4">
                  <c:v>0.55</c:v>
                </c:pt>
                <c:pt idx="5">
                  <c:v>0.6</c:v>
                </c:pt>
                <c:pt idx="6">
                  <c:v>0.85</c:v>
                </c:pt>
                <c:pt idx="7">
                  <c:v>0.84</c:v>
                </c:pt>
                <c:pt idx="8">
                  <c:v>0.88</c:v>
                </c:pt>
                <c:pt idx="9">
                  <c:v>0.67</c:v>
                </c:pt>
                <c:pt idx="10">
                  <c:v>0.62</c:v>
                </c:pt>
                <c:pt idx="11">
                  <c:v>0.55</c:v>
                </c:pt>
                <c:pt idx="12">
                  <c:v>1.03</c:v>
                </c:pt>
                <c:pt idx="13">
                  <c:v>0.57</c:v>
                </c:pt>
                <c:pt idx="14">
                  <c:v>0.32</c:v>
                </c:pt>
                <c:pt idx="15">
                  <c:v>0.31</c:v>
                </c:pt>
                <c:pt idx="16">
                  <c:v>0.32</c:v>
                </c:pt>
                <c:pt idx="17">
                  <c:v>0.47</c:v>
                </c:pt>
                <c:pt idx="18">
                  <c:v>0.28</c:v>
                </c:pt>
                <c:pt idx="19">
                  <c:v>0.37</c:v>
                </c:pt>
              </c:numCache>
            </c:numRef>
          </c:xVal>
          <c:yVal>
            <c:numRef>
              <c:f>[热解绘图.xlsx]Sheet1!$L$2:$L$21</c:f>
              <c:numCache>
                <c:formatCode>General</c:formatCode>
                <c:ptCount val="20"/>
                <c:pt idx="0">
                  <c:v>0.14</c:v>
                </c:pt>
                <c:pt idx="1">
                  <c:v>0.09</c:v>
                </c:pt>
                <c:pt idx="2">
                  <c:v>0.15</c:v>
                </c:pt>
                <c:pt idx="3">
                  <c:v>0.19</c:v>
                </c:pt>
                <c:pt idx="4">
                  <c:v>0.14</c:v>
                </c:pt>
                <c:pt idx="5">
                  <c:v>0.22</c:v>
                </c:pt>
                <c:pt idx="6">
                  <c:v>0.27</c:v>
                </c:pt>
                <c:pt idx="7">
                  <c:v>0.25</c:v>
                </c:pt>
                <c:pt idx="8">
                  <c:v>0.31</c:v>
                </c:pt>
                <c:pt idx="9">
                  <c:v>0.3</c:v>
                </c:pt>
                <c:pt idx="10">
                  <c:v>0.35</c:v>
                </c:pt>
                <c:pt idx="11">
                  <c:v>0.15</c:v>
                </c:pt>
                <c:pt idx="12">
                  <c:v>0.51</c:v>
                </c:pt>
                <c:pt idx="13">
                  <c:v>0.15</c:v>
                </c:pt>
                <c:pt idx="14">
                  <c:v>0.07</c:v>
                </c:pt>
                <c:pt idx="15">
                  <c:v>0.08</c:v>
                </c:pt>
                <c:pt idx="16">
                  <c:v>0.08</c:v>
                </c:pt>
                <c:pt idx="17">
                  <c:v>0.15</c:v>
                </c:pt>
                <c:pt idx="18">
                  <c:v>0.11</c:v>
                </c:pt>
                <c:pt idx="19">
                  <c:v>0.14</c:v>
                </c:pt>
              </c:numCache>
            </c:numRef>
          </c:yVal>
          <c:smooth val="0"/>
        </c:ser>
        <c:ser>
          <c:idx val="5"/>
          <c:order val="8"/>
          <c:tx>
            <c:strRef>
              <c:f>"降解率法"</c:f>
              <c:strCache>
                <c:ptCount val="1"/>
                <c:pt idx="0">
                  <c:v>降解率法</c:v>
                </c:pt>
              </c:strCache>
            </c:strRef>
          </c:tx>
          <c:spPr>
            <a:ln w="19050" cap="rnd">
              <a:noFill/>
              <a:round/>
            </a:ln>
            <a:effectLst/>
          </c:spPr>
          <c:marker>
            <c:symbol val="circle"/>
            <c:size val="5"/>
            <c:spPr>
              <a:solidFill>
                <a:srgbClr val="0000FF"/>
              </a:solidFill>
              <a:ln w="3175">
                <a:solidFill>
                  <a:schemeClr val="tx1"/>
                </a:solidFill>
              </a:ln>
              <a:effectLst/>
            </c:spPr>
          </c:marker>
          <c:dLbls>
            <c:delete val="1"/>
          </c:dLbls>
          <c:xVal>
            <c:numRef>
              <c:f>[热解绘图.xlsx]降解率法!$L$2:$L$21</c:f>
              <c:numCache>
                <c:formatCode>General</c:formatCode>
                <c:ptCount val="20"/>
                <c:pt idx="0">
                  <c:v>0.544444444444444</c:v>
                </c:pt>
                <c:pt idx="1">
                  <c:v>0.588888888888889</c:v>
                </c:pt>
                <c:pt idx="2">
                  <c:v>0.611111111111111</c:v>
                </c:pt>
                <c:pt idx="3">
                  <c:v>0.344444444444444</c:v>
                </c:pt>
                <c:pt idx="4">
                  <c:v>0.333333333333333</c:v>
                </c:pt>
                <c:pt idx="5">
                  <c:v>0.344444444444444</c:v>
                </c:pt>
                <c:pt idx="6">
                  <c:v>0.511111111111111</c:v>
                </c:pt>
                <c:pt idx="7">
                  <c:v>0.3</c:v>
                </c:pt>
                <c:pt idx="8">
                  <c:v>0.4</c:v>
                </c:pt>
                <c:pt idx="9">
                  <c:v>0.411111111111111</c:v>
                </c:pt>
                <c:pt idx="10">
                  <c:v>0.611111111111111</c:v>
                </c:pt>
                <c:pt idx="11">
                  <c:v>0.633333333333333</c:v>
                </c:pt>
                <c:pt idx="12">
                  <c:v>0.6</c:v>
                </c:pt>
                <c:pt idx="13">
                  <c:v>0.68235294117647</c:v>
                </c:pt>
                <c:pt idx="14">
                  <c:v>0.922222222222222</c:v>
                </c:pt>
                <c:pt idx="15">
                  <c:v>0.911111111111111</c:v>
                </c:pt>
                <c:pt idx="16">
                  <c:v>0.944444444444445</c:v>
                </c:pt>
                <c:pt idx="17">
                  <c:v>0.752941176470588</c:v>
                </c:pt>
                <c:pt idx="18">
                  <c:v>0.655555555555556</c:v>
                </c:pt>
                <c:pt idx="19">
                  <c:v>1.16470588235294</c:v>
                </c:pt>
              </c:numCache>
            </c:numRef>
          </c:xVal>
          <c:yVal>
            <c:numRef>
              <c:f>[热解绘图.xlsx]降解率法!$M$2:$M$21</c:f>
              <c:numCache>
                <c:formatCode>General</c:formatCode>
                <c:ptCount val="20"/>
                <c:pt idx="0">
                  <c:v>0.762222222222222</c:v>
                </c:pt>
                <c:pt idx="1">
                  <c:v>0.441666666666666</c:v>
                </c:pt>
                <c:pt idx="2">
                  <c:v>0.458333333333334</c:v>
                </c:pt>
                <c:pt idx="3">
                  <c:v>0.241111111111111</c:v>
                </c:pt>
                <c:pt idx="4">
                  <c:v>0.266666666666667</c:v>
                </c:pt>
                <c:pt idx="5">
                  <c:v>0.275555555555556</c:v>
                </c:pt>
                <c:pt idx="6">
                  <c:v>0.766666666666665</c:v>
                </c:pt>
                <c:pt idx="7">
                  <c:v>0.33</c:v>
                </c:pt>
                <c:pt idx="8">
                  <c:v>0.560000000000001</c:v>
                </c:pt>
                <c:pt idx="9">
                  <c:v>0.37</c:v>
                </c:pt>
                <c:pt idx="10">
                  <c:v>0.916666666666664</c:v>
                </c:pt>
                <c:pt idx="11">
                  <c:v>0.601666666666666</c:v>
                </c:pt>
                <c:pt idx="12">
                  <c:v>0.839999999999999</c:v>
                </c:pt>
                <c:pt idx="13">
                  <c:v>1.12588235294118</c:v>
                </c:pt>
                <c:pt idx="14">
                  <c:v>1.245</c:v>
                </c:pt>
                <c:pt idx="15">
                  <c:v>1.13888888888889</c:v>
                </c:pt>
                <c:pt idx="16">
                  <c:v>0.975925925925926</c:v>
                </c:pt>
                <c:pt idx="17">
                  <c:v>1.12941176470588</c:v>
                </c:pt>
                <c:pt idx="18">
                  <c:v>0.764814814814816</c:v>
                </c:pt>
                <c:pt idx="19">
                  <c:v>2.2275</c:v>
                </c:pt>
              </c:numCache>
            </c:numRef>
          </c:yVal>
          <c:smooth val="0"/>
        </c:ser>
        <c:dLbls>
          <c:showLegendKey val="0"/>
          <c:showVal val="0"/>
          <c:showCatName val="0"/>
          <c:showSerName val="0"/>
          <c:showPercent val="0"/>
          <c:showBubbleSize val="0"/>
        </c:dLbls>
        <c:axId val="369469665"/>
        <c:axId val="952845774"/>
      </c:scatterChart>
      <c:valAx>
        <c:axId val="369469665"/>
        <c:scaling>
          <c:logBase val="10"/>
          <c:orientation val="minMax"/>
          <c:max val="10"/>
          <c:min val="0.01"/>
        </c:scaling>
        <c:delete val="0"/>
        <c:axPos val="b"/>
        <c:majorGridlines>
          <c:spPr>
            <a:ln w="9525" cap="flat" cmpd="sng" algn="ctr">
              <a:noFill/>
              <a:round/>
            </a:ln>
            <a:effectLst/>
          </c:spPr>
        </c:majorGridlines>
        <c:minorGridlines>
          <c:spPr>
            <a:ln w="9525" cap="flat" cmpd="sng" algn="ctr">
              <a:noFill/>
              <a:round/>
            </a:ln>
            <a:effectLst/>
          </c:spPr>
        </c:minorGridlines>
        <c:title>
          <c:tx>
            <c:rich>
              <a:bodyPr rot="0" spcFirstLastPara="0" vertOverflow="ellipsis" vert="horz" wrap="square" anchor="ctr" anchorCtr="1"/>
              <a:lstStyle/>
              <a:p>
                <a:pPr defTabSz="914400">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800" b="1">
                    <a:solidFill>
                      <a:sysClr val="windowText" lastClr="000000"/>
                    </a:solidFill>
                  </a:rPr>
                  <a:t>TOC</a:t>
                </a:r>
                <a:r>
                  <a:rPr altLang="en-US" sz="800" b="1">
                    <a:solidFill>
                      <a:sysClr val="windowText" lastClr="000000"/>
                    </a:solidFill>
                  </a:rPr>
                  <a:t>（</a:t>
                </a:r>
                <a:r>
                  <a:rPr lang="en-US" altLang="zh-CN" sz="800" b="1">
                    <a:solidFill>
                      <a:sysClr val="windowText" lastClr="000000"/>
                    </a:solidFill>
                  </a:rPr>
                  <a:t>%</a:t>
                </a:r>
                <a:r>
                  <a:rPr altLang="en-US" sz="800" b="1">
                    <a:solidFill>
                      <a:sysClr val="windowText" lastClr="000000"/>
                    </a:solidFill>
                  </a:rPr>
                  <a:t>）</a:t>
                </a:r>
                <a:endParaRPr lang="en-US" altLang="zh-CN" sz="800" b="1">
                  <a:solidFill>
                    <a:sysClr val="windowText" lastClr="000000"/>
                  </a:solidFill>
                </a:endParaRPr>
              </a:p>
            </c:rich>
          </c:tx>
          <c:layout>
            <c:manualLayout>
              <c:xMode val="edge"/>
              <c:yMode val="edge"/>
              <c:x val="0.453855438795797"/>
              <c:y val="0.892117917624922"/>
            </c:manualLayout>
          </c:layout>
          <c:overlay val="0"/>
          <c:spPr>
            <a:noFill/>
            <a:ln>
              <a:noFill/>
            </a:ln>
            <a:effectLst/>
          </c:spPr>
        </c:title>
        <c:numFmt formatCode="#,##0.00_);[Red]\(#,##0.00\)" sourceLinked="0"/>
        <c:majorTickMark val="in"/>
        <c:minorTickMark val="in"/>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952845774"/>
        <c:crossesAt val="0.01"/>
        <c:crossBetween val="midCat"/>
      </c:valAx>
      <c:valAx>
        <c:axId val="952845774"/>
        <c:scaling>
          <c:logBase val="10"/>
          <c:orientation val="minMax"/>
          <c:max val="100"/>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0" vertOverflow="ellipsis" vert="horz" wrap="square" anchor="ctr" anchorCtr="1"/>
              <a:lstStyle/>
              <a:p>
                <a:pPr defTabSz="914400">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800" b="1">
                    <a:solidFill>
                      <a:sysClr val="windowText" lastClr="000000"/>
                    </a:solidFill>
                  </a:rPr>
                  <a:t>S1+S2</a:t>
                </a:r>
                <a:r>
                  <a:rPr altLang="en-US" sz="800" b="1">
                    <a:solidFill>
                      <a:sysClr val="windowText" lastClr="000000"/>
                    </a:solidFill>
                  </a:rPr>
                  <a:t>（</a:t>
                </a:r>
                <a:r>
                  <a:rPr lang="en-US" altLang="zh-CN" sz="800" b="1">
                    <a:solidFill>
                      <a:sysClr val="windowText" lastClr="000000"/>
                    </a:solidFill>
                  </a:rPr>
                  <a:t>mg/g</a:t>
                </a:r>
                <a:r>
                  <a:rPr altLang="en-US" sz="800" b="1">
                    <a:solidFill>
                      <a:sysClr val="windowText" lastClr="000000"/>
                    </a:solidFill>
                  </a:rPr>
                  <a:t>）</a:t>
                </a:r>
                <a:endParaRPr lang="en-US" altLang="zh-CN" sz="800" b="1">
                  <a:solidFill>
                    <a:sysClr val="windowText" lastClr="000000"/>
                  </a:solidFill>
                </a:endParaRPr>
              </a:p>
            </c:rich>
          </c:tx>
          <c:layout>
            <c:manualLayout>
              <c:xMode val="edge"/>
              <c:yMode val="edge"/>
              <c:x val="0.0397614314115308"/>
              <c:y val="0.314488814551537"/>
            </c:manualLayout>
          </c:layout>
          <c:overlay val="0"/>
          <c:spPr>
            <a:noFill/>
            <a:ln>
              <a:noFill/>
            </a:ln>
            <a:effectLst/>
          </c:spPr>
        </c:title>
        <c:numFmt formatCode="General" sourceLinked="1"/>
        <c:majorTickMark val="in"/>
        <c:minorTickMark val="in"/>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69469665"/>
        <c:crossesAt val="0"/>
        <c:crossBetween val="midCat"/>
      </c:valAx>
      <c:spPr>
        <a:noFill/>
        <a:ln w="9525" cap="flat" cmpd="sng" algn="ctr">
          <a:solidFill>
            <a:schemeClr val="tx1"/>
          </a:solidFill>
          <a:round/>
        </a:ln>
        <a:effectLst/>
      </c:spPr>
    </c:plotArea>
    <c:legend>
      <c:legendPos val="r"/>
      <c:legendEntry>
        <c:idx val="0"/>
        <c:delete val="1"/>
      </c:legendEntry>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txPr>
          <a:bodyPr rot="0" spcFirstLastPara="0" vertOverflow="ellipsis" vert="horz" wrap="square"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8"/>
        <c:txPr>
          <a:bodyPr rot="0" spcFirstLastPara="0" vertOverflow="ellipsis" vert="horz" wrap="square"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150716430540338"/>
          <c:y val="0.0533017158280316"/>
        </c:manualLayout>
      </c:layout>
      <c:overlay val="0"/>
      <c:spPr>
        <a:noFill/>
        <a:ln>
          <a:noFill/>
        </a:ln>
        <a:effectLst/>
      </c:spPr>
      <c:txPr>
        <a:bodyPr rot="0" spcFirstLastPara="0" vertOverflow="ellipsis" vert="horz" wrap="square"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d45b464f-97b0-498b-abea-110703f3373a}"/>
      </c:ext>
    </c:extLst>
  </c:chart>
  <c:spPr>
    <a:solidFill>
      <a:schemeClr val="bg1"/>
    </a:solidFill>
    <a:ln w="9525" cap="flat" cmpd="sng" algn="ctr">
      <a:noFill/>
      <a:round/>
    </a:ln>
    <a:effectLst/>
  </c:spPr>
  <c:txPr>
    <a:bodyPr/>
    <a:lstStyle/>
    <a:p>
      <a:pPr>
        <a:defRPr lang="zh-CN" sz="8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427024686011"/>
          <c:y val="0.0567432040116126"/>
          <c:w val="0.847076656561282"/>
          <c:h val="0.786698337292162"/>
        </c:manualLayout>
      </c:layout>
      <c:barChart>
        <c:barDir val="col"/>
        <c:grouping val="clustered"/>
        <c:varyColors val="0"/>
        <c:ser>
          <c:idx val="0"/>
          <c:order val="0"/>
          <c:tx>
            <c:strRef>
              <c:f>"原始数据"</c:f>
              <c:strCache>
                <c:ptCount val="1"/>
                <c:pt idx="0">
                  <c:v>原始数据</c:v>
                </c:pt>
              </c:strCache>
            </c:strRef>
          </c:tx>
          <c:spPr>
            <a:solidFill>
              <a:srgbClr val="FF0000"/>
            </a:solidFill>
            <a:ln>
              <a:noFill/>
            </a:ln>
            <a:effectLst/>
          </c:spPr>
          <c:invertIfNegative val="0"/>
          <c:dLbls>
            <c:numFmt formatCode="#,##0.00_);[Red]\(#,##0.00\)" sourceLinked="0"/>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[热解绘图.xlsx]Sheet1!$N$60:$N$63</c:f>
              <c:strCache>
                <c:ptCount val="4"/>
                <c:pt idx="0">
                  <c:v>&lt;0.4</c:v>
                </c:pt>
                <c:pt idx="1">
                  <c:v>0.4-0.6</c:v>
                </c:pt>
                <c:pt idx="2">
                  <c:v>0.6-1.0</c:v>
                </c:pt>
                <c:pt idx="3">
                  <c:v>&gt;1.0</c:v>
                </c:pt>
              </c:strCache>
            </c:strRef>
          </c:cat>
          <c:val>
            <c:numRef>
              <c:f>[热解绘图.xlsx]Sheet1!$P$60:$P$63</c:f>
              <c:numCache>
                <c:formatCode>General</c:formatCode>
                <c:ptCount val="4"/>
                <c:pt idx="0">
                  <c:v>0.3</c:v>
                </c:pt>
                <c:pt idx="1">
                  <c:v>0.35</c:v>
                </c:pt>
                <c:pt idx="2">
                  <c:v>0.3</c:v>
                </c:pt>
                <c:pt idx="3">
                  <c:v>0.05</c:v>
                </c:pt>
              </c:numCache>
            </c:numRef>
          </c:val>
        </c:ser>
        <c:ser>
          <c:idx val="1"/>
          <c:order val="1"/>
          <c:tx>
            <c:strRef>
              <c:f>"降解率法"</c:f>
              <c:strCache>
                <c:ptCount val="1"/>
                <c:pt idx="0">
                  <c:v>降解率法</c:v>
                </c:pt>
              </c:strCache>
            </c:strRef>
          </c:tx>
          <c:spPr>
            <a:solidFill>
              <a:srgbClr val="0000FF"/>
            </a:solidFill>
            <a:ln>
              <a:noFill/>
            </a:ln>
            <a:effectLst/>
          </c:spPr>
          <c:invertIfNegative val="0"/>
          <c:dLbls>
            <c:dLbl>
              <c:idx val="2"/>
              <c:layout>
                <c:manualLayout>
                  <c:x val="0"/>
                  <c:y val="0.010292953285827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[热解绘图.xlsx]Sheet1!$N$60:$N$63</c:f>
              <c:strCache>
                <c:ptCount val="4"/>
                <c:pt idx="0">
                  <c:v>&lt;0.4</c:v>
                </c:pt>
                <c:pt idx="1">
                  <c:v>0.4-0.6</c:v>
                </c:pt>
                <c:pt idx="2">
                  <c:v>0.6-1.0</c:v>
                </c:pt>
                <c:pt idx="3">
                  <c:v>&gt;1.0</c:v>
                </c:pt>
              </c:strCache>
            </c:strRef>
          </c:cat>
          <c:val>
            <c:numRef>
              <c:f>[热解绘图.xlsx]Sheet1!$R$60:$R$63</c:f>
              <c:numCache>
                <c:formatCode>General</c:formatCode>
                <c:ptCount val="4"/>
                <c:pt idx="0">
                  <c:v>0.25</c:v>
                </c:pt>
                <c:pt idx="1">
                  <c:v>0.25</c:v>
                </c:pt>
                <c:pt idx="2">
                  <c:v>0.45</c:v>
                </c:pt>
                <c:pt idx="3">
                  <c:v>0.05</c:v>
                </c:pt>
              </c:numCache>
            </c:numRef>
          </c:val>
        </c:ser>
        <c:dLbls>
          <c:showLegendKey val="0"/>
          <c:showVal val="1"/>
          <c:showCatName val="0"/>
          <c:showSerName val="0"/>
          <c:showPercent val="0"/>
          <c:showBubbleSize val="0"/>
        </c:dLbls>
        <c:gapWidth val="89"/>
        <c:overlap val="-3"/>
        <c:axId val="883675186"/>
        <c:axId val="29221364"/>
      </c:barChart>
      <c:catAx>
        <c:axId val="883675186"/>
        <c:scaling>
          <c:orientation val="minMax"/>
        </c:scaling>
        <c:delete val="0"/>
        <c:axPos val="b"/>
        <c:title>
          <c:tx>
            <c:rich>
              <a:bodyPr rot="0" spcFirstLastPara="0" vertOverflow="ellipsis" vert="horz" wrap="square" anchor="ctr" anchorCtr="1"/>
              <a:lstStyle/>
              <a:p>
                <a:pPr defTabSz="914400">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800" b="1">
                    <a:latin typeface="Times New Roman" panose="02020603050405020304" charset="0"/>
                    <a:ea typeface="Times New Roman" panose="02020603050405020304" charset="0"/>
                    <a:cs typeface="Times New Roman" panose="02020603050405020304" charset="0"/>
                    <a:sym typeface="Times New Roman" panose="02020603050405020304" charset="0"/>
                  </a:rPr>
                  <a:t>TOC</a:t>
                </a:r>
                <a:r>
                  <a:rPr altLang="en-US" sz="800" b="1">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lang="en-US" altLang="zh-CN" sz="800" b="1">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altLang="en-US" sz="800" b="1">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altLang="zh-CN" sz="800"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438198354265916"/>
              <c:y val="0.906777525825145"/>
            </c:manualLayout>
          </c:layout>
          <c:overlay val="0"/>
          <c:spPr>
            <a:noFill/>
            <a:ln>
              <a:noFill/>
            </a:ln>
            <a:effectLst/>
          </c:spPr>
        </c:title>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9221364"/>
        <c:crosses val="autoZero"/>
        <c:auto val="1"/>
        <c:lblAlgn val="ctr"/>
        <c:lblOffset val="100"/>
        <c:noMultiLvlLbl val="0"/>
      </c:catAx>
      <c:valAx>
        <c:axId val="29221364"/>
        <c:scaling>
          <c:orientation val="minMax"/>
        </c:scaling>
        <c:delete val="0"/>
        <c:axPos val="l"/>
        <c:majorGridlines>
          <c:spPr>
            <a:ln w="9525" cap="flat" cmpd="sng" algn="ctr">
              <a:noFill/>
              <a:round/>
            </a:ln>
            <a:effectLst/>
          </c:spPr>
        </c:majorGridlines>
        <c:title>
          <c:tx>
            <c:rich>
              <a:bodyPr rot="-5400000" spcFirstLastPara="0" vertOverflow="ellipsis" vert="horz" wrap="square" anchor="ctr" anchorCtr="1"/>
              <a:lstStyle/>
              <a:p>
                <a:pPr defTabSz="914400">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800" b="1">
                    <a:latin typeface="Times New Roman" panose="02020603050405020304" charset="0"/>
                    <a:ea typeface="Times New Roman" panose="02020603050405020304" charset="0"/>
                    <a:cs typeface="Times New Roman" panose="02020603050405020304" charset="0"/>
                    <a:sym typeface="Times New Roman" panose="02020603050405020304" charset="0"/>
                  </a:rPr>
                  <a:t>频率</a:t>
                </a:r>
                <a:endParaRPr sz="800"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3675186"/>
        <c:crosses val="autoZero"/>
        <c:crossBetween val="between"/>
      </c:valAx>
      <c:spPr>
        <a:noFill/>
        <a:ln>
          <a:solidFill>
            <a:schemeClr val="tx1"/>
          </a:solidFill>
        </a:ln>
        <a:effectLst/>
      </c:spPr>
    </c:plotArea>
    <c:legend>
      <c:legendPos val="b"/>
      <c:legendEntry>
        <c:idx val="0"/>
        <c:txPr>
          <a:bodyPr rot="0" spcFirstLastPara="0" vertOverflow="ellipsis" vert="horz" wrap="square"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791420440578017"/>
          <c:y val="0.0654639165601223"/>
          <c:w val="0.161984772906275"/>
          <c:h val="0.184417923891016"/>
        </c:manualLayout>
      </c:layout>
      <c:overlay val="1"/>
      <c:spPr>
        <a:noFill/>
        <a:ln>
          <a:noFill/>
        </a:ln>
        <a:effectLst/>
      </c:spPr>
      <c:txPr>
        <a:bodyPr rot="0" spcFirstLastPara="0" vertOverflow="ellipsis" vert="horz" wrap="square" anchor="ctr" anchorCtr="1"/>
        <a:lstStyle/>
        <a:p>
          <a:pPr>
            <a:defRPr lang="zh-CN" sz="8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19e4556c-02cc-45bb-b810-f6c36b08570a}"/>
      </c:ext>
    </c:extLst>
  </c:chart>
  <c:spPr>
    <a:solidFill>
      <a:schemeClr val="bg1"/>
    </a:solidFill>
    <a:ln w="9525" cap="flat" cmpd="sng" algn="ctr">
      <a:noFill/>
      <a:round/>
    </a:ln>
    <a:effectLst/>
  </c:spPr>
  <c:txPr>
    <a:bodyPr/>
    <a:lstStyle/>
    <a:p>
      <a:pPr>
        <a:defRPr lang="zh-CN" sz="8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2025-01-03T00:42:00Z</dcterms:created>
  <dc:creator>wangmaosen</dc:creator>
  <cp:lastModifiedBy>努力</cp:lastModifiedBy>
  <dcterms:modified xsi:type="dcterms:W3CDTF">2025-01-20T12:29:18Z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B22C819C1E1B48E6BE6BB2A21A31D87D_12</vt:lpwstr>
  </property>
  <property fmtid="{D5CDD505-2E9C-101B-9397-08002B2CF9AE}" pid="4" name="KSOTemplateDocerSaveRecord">
    <vt:lpwstr>eyJoZGlkIjoiZTNiMmJjMGUyMDNhMGI0MjllZTc4OTE3ODRjOTBjMWQiLCJ1c2VySWQiOiIxMjYxMjg2MTY1In0=</vt:lpwstr>
  </property>
</Properties>
</file>